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112E9" w14:textId="1513D527" w:rsidR="0058301F" w:rsidRPr="00BD03AC" w:rsidRDefault="68A134EB" w:rsidP="1FCF741B">
      <w:pPr>
        <w:jc w:val="center"/>
        <w:rPr>
          <w:color w:val="000000" w:themeColor="text1"/>
        </w:rPr>
      </w:pPr>
      <w:r w:rsidRPr="1FCF741B">
        <w:rPr>
          <w:color w:val="000000" w:themeColor="text1"/>
          <w:u w:val="single"/>
        </w:rPr>
        <w:t>FY-26 AVIATION COMMAND RETENTION BONUS</w:t>
      </w:r>
    </w:p>
    <w:p w14:paraId="12EFB45B" w14:textId="46E79730" w:rsidR="0058301F" w:rsidRPr="00BD03AC" w:rsidRDefault="68A134EB" w:rsidP="1FCF741B">
      <w:pPr>
        <w:jc w:val="center"/>
        <w:rPr>
          <w:color w:val="000000" w:themeColor="text1"/>
        </w:rPr>
      </w:pPr>
      <w:r w:rsidRPr="1FCF741B">
        <w:rPr>
          <w:color w:val="000000" w:themeColor="text1"/>
          <w:u w:val="single"/>
        </w:rPr>
        <w:t>PROGRAM INFORMATION</w:t>
      </w:r>
      <w:r w:rsidR="001D6ABB">
        <w:br/>
      </w:r>
    </w:p>
    <w:p w14:paraId="08110359" w14:textId="4B9A69AE" w:rsidR="0058301F" w:rsidRPr="00BD03AC" w:rsidRDefault="68A134EB" w:rsidP="1FCF741B">
      <w:pPr>
        <w:tabs>
          <w:tab w:val="left" w:pos="360"/>
        </w:tabs>
        <w:rPr>
          <w:color w:val="000000" w:themeColor="text1"/>
        </w:rPr>
      </w:pPr>
      <w:r w:rsidRPr="1FCF741B">
        <w:rPr>
          <w:color w:val="000000" w:themeColor="text1"/>
        </w:rPr>
        <w:t xml:space="preserve">1.  </w:t>
      </w:r>
      <w:r w:rsidR="001D6ABB">
        <w:tab/>
      </w:r>
      <w:r w:rsidRPr="1FCF741B">
        <w:rPr>
          <w:color w:val="000000" w:themeColor="text1"/>
          <w:u w:val="single"/>
        </w:rPr>
        <w:t>Introduction</w:t>
      </w:r>
      <w:r w:rsidRPr="1FCF741B">
        <w:rPr>
          <w:color w:val="000000" w:themeColor="text1"/>
        </w:rPr>
        <w:t xml:space="preserve">.  The Department of the Navy authorizes Aviation Command Retention Bonus (ACRB) in addition to the Aviation Department Head Retention Bonus (ADHRB) and Aviation Incentive Pay (AvIP) to enhance retention of career-minded aviation officers.  The intent of the ACRB is to retain the invaluable and irreplaceable experience and skill sets of the Navy’s cadre of Commander (O-5/CDR) commanding officers (COs). </w:t>
      </w:r>
    </w:p>
    <w:p w14:paraId="534F5030" w14:textId="0116152D" w:rsidR="0058301F" w:rsidRPr="00BD03AC" w:rsidRDefault="0058301F" w:rsidP="1FCF741B">
      <w:pPr>
        <w:rPr>
          <w:color w:val="000000" w:themeColor="text1"/>
        </w:rPr>
      </w:pPr>
    </w:p>
    <w:p w14:paraId="13951638" w14:textId="206B0E7E" w:rsidR="0058301F" w:rsidRPr="00BD03AC" w:rsidRDefault="68A134EB" w:rsidP="1FCF741B">
      <w:pPr>
        <w:tabs>
          <w:tab w:val="left" w:pos="360"/>
        </w:tabs>
        <w:rPr>
          <w:color w:val="000000" w:themeColor="text1"/>
        </w:rPr>
      </w:pPr>
      <w:r w:rsidRPr="1FCF741B">
        <w:rPr>
          <w:color w:val="000000" w:themeColor="text1"/>
        </w:rPr>
        <w:t>2.</w:t>
      </w:r>
      <w:r w:rsidR="001D6ABB">
        <w:tab/>
      </w:r>
      <w:r w:rsidRPr="1FCF741B">
        <w:rPr>
          <w:color w:val="000000" w:themeColor="text1"/>
          <w:u w:val="single"/>
        </w:rPr>
        <w:t>Highlights</w:t>
      </w:r>
    </w:p>
    <w:p w14:paraId="70AA2959" w14:textId="45D277ED" w:rsidR="0058301F" w:rsidRPr="00BD03AC" w:rsidRDefault="0058301F" w:rsidP="1FCF741B">
      <w:pPr>
        <w:tabs>
          <w:tab w:val="left" w:pos="360"/>
        </w:tabs>
        <w:rPr>
          <w:color w:val="000000" w:themeColor="text1"/>
        </w:rPr>
      </w:pPr>
    </w:p>
    <w:p w14:paraId="3DF5E659" w14:textId="321AF4BE" w:rsidR="0058301F" w:rsidRPr="00BD03AC" w:rsidRDefault="68A134EB" w:rsidP="1FCF741B">
      <w:pPr>
        <w:pStyle w:val="ListParagraph"/>
        <w:numPr>
          <w:ilvl w:val="0"/>
          <w:numId w:val="11"/>
        </w:numPr>
        <w:ind w:left="630" w:hanging="270"/>
        <w:contextualSpacing/>
        <w:rPr>
          <w:color w:val="000000" w:themeColor="text1"/>
        </w:rPr>
      </w:pPr>
      <w:r w:rsidRPr="1FCF741B">
        <w:rPr>
          <w:color w:val="000000" w:themeColor="text1"/>
        </w:rPr>
        <w:t>Eligibility window: begins with NAVADMIN release and ends 31 August 2026</w:t>
      </w:r>
    </w:p>
    <w:p w14:paraId="3A6FE523" w14:textId="23BE96FB" w:rsidR="0058301F" w:rsidRPr="00BD03AC" w:rsidRDefault="68A134EB" w:rsidP="1FCF741B">
      <w:pPr>
        <w:pStyle w:val="ListParagraph"/>
        <w:numPr>
          <w:ilvl w:val="0"/>
          <w:numId w:val="11"/>
        </w:numPr>
        <w:ind w:left="630" w:hanging="270"/>
        <w:contextualSpacing/>
        <w:rPr>
          <w:color w:val="000000" w:themeColor="text1"/>
        </w:rPr>
      </w:pPr>
      <w:r w:rsidRPr="1FCF741B">
        <w:rPr>
          <w:color w:val="000000" w:themeColor="text1"/>
        </w:rPr>
        <w:t>Eligibility criteria: upon selection for Aviation Command and prior to assuming aviation command</w:t>
      </w:r>
    </w:p>
    <w:p w14:paraId="55DF2944" w14:textId="7BB0B61B" w:rsidR="0058301F" w:rsidRPr="00BD03AC" w:rsidRDefault="68A134EB" w:rsidP="1FCF741B">
      <w:pPr>
        <w:pStyle w:val="ListParagraph"/>
        <w:numPr>
          <w:ilvl w:val="0"/>
          <w:numId w:val="11"/>
        </w:numPr>
        <w:ind w:left="630" w:hanging="270"/>
        <w:contextualSpacing/>
        <w:rPr>
          <w:color w:val="000000" w:themeColor="text1"/>
        </w:rPr>
      </w:pPr>
      <w:r w:rsidRPr="1FCF741B">
        <w:rPr>
          <w:color w:val="000000" w:themeColor="text1"/>
        </w:rPr>
        <w:t xml:space="preserve">Options for contract length (two- or three-year obligations).  The obligated service for each option starts at completion of 19 years of commissioned service (YCS) or contract approval whichever is later.  </w:t>
      </w:r>
    </w:p>
    <w:p w14:paraId="41C6581E" w14:textId="35D02B20" w:rsidR="0058301F" w:rsidRPr="00BD03AC" w:rsidRDefault="68A134EB" w:rsidP="1FCF741B">
      <w:pPr>
        <w:pStyle w:val="ListParagraph"/>
        <w:numPr>
          <w:ilvl w:val="0"/>
          <w:numId w:val="11"/>
        </w:numPr>
        <w:ind w:left="630" w:hanging="270"/>
        <w:contextualSpacing/>
        <w:rPr>
          <w:color w:val="000000" w:themeColor="text1"/>
        </w:rPr>
      </w:pPr>
      <w:r w:rsidRPr="1FCF741B">
        <w:rPr>
          <w:color w:val="000000" w:themeColor="text1"/>
        </w:rPr>
        <w:t>ACRB rates and obligated service are as follows:</w:t>
      </w:r>
    </w:p>
    <w:p w14:paraId="59239B5C" w14:textId="0D2032E7" w:rsidR="0058301F" w:rsidRPr="00BD03AC" w:rsidRDefault="68A134EB" w:rsidP="1FCF741B">
      <w:pPr>
        <w:pStyle w:val="ListParagraph"/>
        <w:numPr>
          <w:ilvl w:val="1"/>
          <w:numId w:val="11"/>
        </w:numPr>
        <w:ind w:left="990"/>
        <w:contextualSpacing/>
        <w:rPr>
          <w:color w:val="000000" w:themeColor="text1"/>
        </w:rPr>
      </w:pPr>
      <w:r w:rsidRPr="1FCF741B">
        <w:rPr>
          <w:color w:val="000000" w:themeColor="text1"/>
        </w:rPr>
        <w:t>2-year option - $37K total ($18.5K/year); obligation ending at completion of 21 YCS</w:t>
      </w:r>
    </w:p>
    <w:p w14:paraId="76583377" w14:textId="76055F54" w:rsidR="0058301F" w:rsidRPr="00BD03AC" w:rsidRDefault="68A134EB" w:rsidP="1FCF741B">
      <w:pPr>
        <w:pStyle w:val="ListParagraph"/>
        <w:numPr>
          <w:ilvl w:val="1"/>
          <w:numId w:val="11"/>
        </w:numPr>
        <w:ind w:left="990"/>
        <w:contextualSpacing/>
        <w:rPr>
          <w:color w:val="000000" w:themeColor="text1"/>
        </w:rPr>
      </w:pPr>
      <w:r w:rsidRPr="1FCF741B">
        <w:rPr>
          <w:color w:val="000000" w:themeColor="text1"/>
        </w:rPr>
        <w:t>3-year option - $129K total ($43K/year); obligation ending at completion of 22 YCS</w:t>
      </w:r>
    </w:p>
    <w:p w14:paraId="4BDA1F2F" w14:textId="4C43BEAB" w:rsidR="0058301F" w:rsidRPr="00BD03AC" w:rsidRDefault="68A134EB" w:rsidP="1FCF741B">
      <w:pPr>
        <w:pStyle w:val="ListParagraph"/>
        <w:numPr>
          <w:ilvl w:val="0"/>
          <w:numId w:val="11"/>
        </w:numPr>
        <w:ind w:left="630" w:hanging="270"/>
        <w:contextualSpacing/>
        <w:rPr>
          <w:color w:val="000000" w:themeColor="text1"/>
        </w:rPr>
      </w:pPr>
      <w:r w:rsidRPr="1FCF741B">
        <w:rPr>
          <w:color w:val="000000" w:themeColor="text1"/>
        </w:rPr>
        <w:t>Sea duty incentive: $10K per year (not to exceed $50K/year total compensation), for each year of the contract, for those who report to post-command orders to operational Carrier Strike Groups (CSG), Carriers (CVN), and Amphibious Assault Ships (LHA and LHD). Due to the $50K statutory cap, the sea duty incentive for the 3-year option will be reduced to $7K/year.</w:t>
      </w:r>
    </w:p>
    <w:p w14:paraId="0B40EA50" w14:textId="4E4CBDF2" w:rsidR="0058301F" w:rsidRPr="00BD03AC" w:rsidRDefault="0058301F" w:rsidP="1FCF741B">
      <w:pPr>
        <w:tabs>
          <w:tab w:val="left" w:pos="360"/>
        </w:tabs>
        <w:rPr>
          <w:color w:val="000000" w:themeColor="text1"/>
        </w:rPr>
      </w:pPr>
    </w:p>
    <w:p w14:paraId="325A9F7F" w14:textId="6C8207ED" w:rsidR="0058301F" w:rsidRPr="00BD03AC" w:rsidRDefault="68A134EB" w:rsidP="1FCF741B">
      <w:pPr>
        <w:pStyle w:val="ListParagraph"/>
        <w:numPr>
          <w:ilvl w:val="0"/>
          <w:numId w:val="10"/>
        </w:numPr>
        <w:tabs>
          <w:tab w:val="left" w:pos="360"/>
        </w:tabs>
        <w:rPr>
          <w:color w:val="000000" w:themeColor="text1"/>
        </w:rPr>
      </w:pPr>
      <w:r w:rsidRPr="1FCF741B">
        <w:rPr>
          <w:color w:val="000000" w:themeColor="text1"/>
          <w:u w:val="single"/>
        </w:rPr>
        <w:t>Contract Terms</w:t>
      </w:r>
      <w:r w:rsidRPr="1FCF741B">
        <w:rPr>
          <w:color w:val="000000" w:themeColor="text1"/>
        </w:rPr>
        <w:t xml:space="preserve">   </w:t>
      </w:r>
    </w:p>
    <w:p w14:paraId="56FFF086" w14:textId="14E044A3" w:rsidR="0058301F" w:rsidRPr="00BD03AC" w:rsidRDefault="0058301F" w:rsidP="1FCF741B">
      <w:pPr>
        <w:tabs>
          <w:tab w:val="left" w:pos="360"/>
        </w:tabs>
        <w:rPr>
          <w:color w:val="000000" w:themeColor="text1"/>
        </w:rPr>
      </w:pPr>
    </w:p>
    <w:p w14:paraId="11B470BC" w14:textId="6438876B"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 xml:space="preserve">Base Contract Amounts.  The ACRB offers eligible officers two options for contract lengths with associated bonus rates.  </w:t>
      </w:r>
    </w:p>
    <w:p w14:paraId="0A76E1B2" w14:textId="50055747" w:rsidR="0058301F" w:rsidRPr="00BD03AC" w:rsidRDefault="0058301F" w:rsidP="1FCF741B">
      <w:pPr>
        <w:tabs>
          <w:tab w:val="left" w:pos="0"/>
        </w:tabs>
        <w:ind w:left="360"/>
        <w:rPr>
          <w:color w:val="000000" w:themeColor="text1"/>
        </w:rPr>
      </w:pPr>
    </w:p>
    <w:p w14:paraId="15819B9C" w14:textId="6C0A02EE" w:rsidR="0058301F" w:rsidRPr="00BD03AC" w:rsidRDefault="68A134EB" w:rsidP="1FCF741B">
      <w:pPr>
        <w:pStyle w:val="ListParagraph"/>
        <w:numPr>
          <w:ilvl w:val="1"/>
          <w:numId w:val="8"/>
        </w:numPr>
        <w:tabs>
          <w:tab w:val="left" w:pos="0"/>
        </w:tabs>
        <w:ind w:left="0" w:firstLine="720"/>
        <w:rPr>
          <w:color w:val="000000" w:themeColor="text1"/>
        </w:rPr>
      </w:pPr>
      <w:r w:rsidRPr="1FCF741B">
        <w:rPr>
          <w:color w:val="000000" w:themeColor="text1"/>
        </w:rPr>
        <w:t>Two-year contracts will be paid at a rate of $18,500 per year for a total contract amount of $37,000.</w:t>
      </w:r>
    </w:p>
    <w:p w14:paraId="7814A99C" w14:textId="4890F400" w:rsidR="0058301F" w:rsidRPr="00BD03AC" w:rsidRDefault="68A134EB" w:rsidP="1FCF741B">
      <w:pPr>
        <w:pStyle w:val="ListParagraph"/>
        <w:numPr>
          <w:ilvl w:val="1"/>
          <w:numId w:val="8"/>
        </w:numPr>
        <w:tabs>
          <w:tab w:val="left" w:pos="0"/>
        </w:tabs>
        <w:ind w:left="0" w:firstLine="720"/>
        <w:rPr>
          <w:color w:val="000000" w:themeColor="text1"/>
        </w:rPr>
      </w:pPr>
      <w:r w:rsidRPr="1FCF741B">
        <w:rPr>
          <w:color w:val="000000" w:themeColor="text1"/>
        </w:rPr>
        <w:t xml:space="preserve">Three-year contracts will be paid at a rate of $43,000 per year for a total contract amount of $129,000.  </w:t>
      </w:r>
    </w:p>
    <w:p w14:paraId="496FF596" w14:textId="483128FD" w:rsidR="0058301F" w:rsidRPr="00BD03AC" w:rsidRDefault="0058301F" w:rsidP="1FCF741B">
      <w:pPr>
        <w:tabs>
          <w:tab w:val="left" w:pos="0"/>
        </w:tabs>
        <w:ind w:left="360"/>
        <w:rPr>
          <w:color w:val="000000" w:themeColor="text1"/>
        </w:rPr>
      </w:pPr>
    </w:p>
    <w:p w14:paraId="29269935" w14:textId="6367E826"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 xml:space="preserve">Obligation Start Date.  If a contract is approved by PERS-43, then that officer’s ACRB obligation period will commence at completion of 19 YCS, completion of all prior Aviation Bonus (AvB) obligations, or contract approval whichever is later. </w:t>
      </w:r>
    </w:p>
    <w:p w14:paraId="49234817" w14:textId="4BF1704B" w:rsidR="0058301F" w:rsidRPr="00BD03AC" w:rsidRDefault="68A134EB" w:rsidP="1FCF741B">
      <w:pPr>
        <w:tabs>
          <w:tab w:val="left" w:pos="0"/>
        </w:tabs>
        <w:ind w:left="360"/>
        <w:rPr>
          <w:color w:val="000000" w:themeColor="text1"/>
        </w:rPr>
      </w:pPr>
      <w:r w:rsidRPr="1FCF741B">
        <w:rPr>
          <w:color w:val="000000" w:themeColor="text1"/>
        </w:rPr>
        <w:t xml:space="preserve"> </w:t>
      </w:r>
    </w:p>
    <w:p w14:paraId="25E1CA52" w14:textId="1E59C627"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 xml:space="preserve">Post Command Commander (PCC) tours – tours that require a post-command commander due to leadership experience.  A full PCC tour is served to the prescribed projected rotation date (PRD) and not minimum time on station.  A fellowship in and of itself is not a full PCC tour. </w:t>
      </w:r>
    </w:p>
    <w:p w14:paraId="418DF091" w14:textId="44DB9791" w:rsidR="0058301F" w:rsidRPr="00BD03AC" w:rsidRDefault="0058301F" w:rsidP="1FCF741B">
      <w:pPr>
        <w:ind w:left="720"/>
        <w:rPr>
          <w:color w:val="000000" w:themeColor="text1"/>
        </w:rPr>
      </w:pPr>
    </w:p>
    <w:p w14:paraId="20E11304" w14:textId="401F2357"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Two-year contracts will terminate upon the latest of these four dates:</w:t>
      </w:r>
    </w:p>
    <w:p w14:paraId="412E7607" w14:textId="5CBF4730" w:rsidR="0058301F" w:rsidRPr="00BD03AC" w:rsidRDefault="68A134EB" w:rsidP="1FCF741B">
      <w:pPr>
        <w:pStyle w:val="ListParagraph"/>
        <w:numPr>
          <w:ilvl w:val="0"/>
          <w:numId w:val="6"/>
        </w:numPr>
        <w:tabs>
          <w:tab w:val="left" w:pos="0"/>
        </w:tabs>
        <w:ind w:left="1080"/>
        <w:rPr>
          <w:color w:val="000000" w:themeColor="text1"/>
        </w:rPr>
      </w:pPr>
      <w:r w:rsidRPr="1FCF741B">
        <w:rPr>
          <w:color w:val="000000" w:themeColor="text1"/>
        </w:rPr>
        <w:lastRenderedPageBreak/>
        <w:t>Completion of 21 years of commissioned service</w:t>
      </w:r>
    </w:p>
    <w:p w14:paraId="759DB59C" w14:textId="53442CF5" w:rsidR="0058301F" w:rsidRPr="00BD03AC" w:rsidRDefault="68A134EB" w:rsidP="1FCF741B">
      <w:pPr>
        <w:pStyle w:val="ListParagraph"/>
        <w:numPr>
          <w:ilvl w:val="0"/>
          <w:numId w:val="6"/>
        </w:numPr>
        <w:tabs>
          <w:tab w:val="left" w:pos="0"/>
        </w:tabs>
        <w:ind w:left="1080"/>
        <w:rPr>
          <w:color w:val="000000" w:themeColor="text1"/>
        </w:rPr>
      </w:pPr>
      <w:r w:rsidRPr="1FCF741B">
        <w:rPr>
          <w:color w:val="000000" w:themeColor="text1"/>
        </w:rPr>
        <w:t>Two years after contract approval</w:t>
      </w:r>
    </w:p>
    <w:p w14:paraId="50511238" w14:textId="4E99BD7E" w:rsidR="0058301F" w:rsidRPr="00BD03AC" w:rsidRDefault="68A134EB" w:rsidP="1FCF741B">
      <w:pPr>
        <w:pStyle w:val="ListParagraph"/>
        <w:numPr>
          <w:ilvl w:val="0"/>
          <w:numId w:val="6"/>
        </w:numPr>
        <w:tabs>
          <w:tab w:val="left" w:pos="0"/>
        </w:tabs>
        <w:ind w:left="1080"/>
        <w:rPr>
          <w:color w:val="000000" w:themeColor="text1"/>
        </w:rPr>
      </w:pPr>
      <w:r w:rsidRPr="1FCF741B">
        <w:rPr>
          <w:color w:val="000000" w:themeColor="text1"/>
        </w:rPr>
        <w:t>Completion of a full PCC tour PRD</w:t>
      </w:r>
    </w:p>
    <w:p w14:paraId="134F89B4" w14:textId="35E6C062" w:rsidR="0058301F" w:rsidRPr="00BD03AC" w:rsidRDefault="68A134EB" w:rsidP="1FCF741B">
      <w:pPr>
        <w:pStyle w:val="ListParagraph"/>
        <w:numPr>
          <w:ilvl w:val="0"/>
          <w:numId w:val="6"/>
        </w:numPr>
        <w:tabs>
          <w:tab w:val="left" w:pos="0"/>
        </w:tabs>
        <w:ind w:left="1080"/>
        <w:rPr>
          <w:color w:val="000000" w:themeColor="text1"/>
        </w:rPr>
      </w:pPr>
      <w:r w:rsidRPr="1FCF741B">
        <w:rPr>
          <w:color w:val="000000" w:themeColor="text1"/>
        </w:rPr>
        <w:t>Two years after completion of all prior Aviation Bonus (AvB) obligations</w:t>
      </w:r>
    </w:p>
    <w:p w14:paraId="482961D9" w14:textId="0BB0D6E0" w:rsidR="0058301F" w:rsidRPr="00BD03AC" w:rsidRDefault="0058301F" w:rsidP="1FCF741B">
      <w:pPr>
        <w:tabs>
          <w:tab w:val="left" w:pos="0"/>
        </w:tabs>
        <w:rPr>
          <w:color w:val="000000" w:themeColor="text1"/>
        </w:rPr>
      </w:pPr>
    </w:p>
    <w:p w14:paraId="408E16DD" w14:textId="19F2C618"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Three-year contracts will terminate upon the latest of these four dates:</w:t>
      </w:r>
    </w:p>
    <w:p w14:paraId="532F59A9" w14:textId="02695734" w:rsidR="0058301F" w:rsidRPr="00BD03AC" w:rsidRDefault="68A134EB" w:rsidP="1FCF741B">
      <w:pPr>
        <w:pStyle w:val="ListParagraph"/>
        <w:numPr>
          <w:ilvl w:val="0"/>
          <w:numId w:val="4"/>
        </w:numPr>
        <w:tabs>
          <w:tab w:val="left" w:pos="0"/>
        </w:tabs>
        <w:ind w:left="1080"/>
        <w:rPr>
          <w:color w:val="000000" w:themeColor="text1"/>
        </w:rPr>
      </w:pPr>
      <w:r w:rsidRPr="1FCF741B">
        <w:rPr>
          <w:color w:val="000000" w:themeColor="text1"/>
        </w:rPr>
        <w:t>Completion of 22 years of commissioned service</w:t>
      </w:r>
    </w:p>
    <w:p w14:paraId="5826E0E3" w14:textId="5A8DDF41" w:rsidR="0058301F" w:rsidRPr="00BD03AC" w:rsidRDefault="68A134EB" w:rsidP="1FCF741B">
      <w:pPr>
        <w:pStyle w:val="ListParagraph"/>
        <w:numPr>
          <w:ilvl w:val="0"/>
          <w:numId w:val="4"/>
        </w:numPr>
        <w:tabs>
          <w:tab w:val="left" w:pos="0"/>
        </w:tabs>
        <w:ind w:left="1080"/>
        <w:rPr>
          <w:color w:val="000000" w:themeColor="text1"/>
        </w:rPr>
      </w:pPr>
      <w:r w:rsidRPr="1FCF741B">
        <w:rPr>
          <w:color w:val="000000" w:themeColor="text1"/>
        </w:rPr>
        <w:t>Three years after contract approval</w:t>
      </w:r>
    </w:p>
    <w:p w14:paraId="7D02E218" w14:textId="77610D07" w:rsidR="0058301F" w:rsidRPr="00BD03AC" w:rsidRDefault="68A134EB" w:rsidP="1FCF741B">
      <w:pPr>
        <w:pStyle w:val="ListParagraph"/>
        <w:numPr>
          <w:ilvl w:val="0"/>
          <w:numId w:val="4"/>
        </w:numPr>
        <w:tabs>
          <w:tab w:val="left" w:pos="0"/>
        </w:tabs>
        <w:ind w:left="1080"/>
        <w:rPr>
          <w:color w:val="000000" w:themeColor="text1"/>
        </w:rPr>
      </w:pPr>
      <w:r w:rsidRPr="1FCF741B">
        <w:rPr>
          <w:color w:val="000000" w:themeColor="text1"/>
        </w:rPr>
        <w:t xml:space="preserve">Completion of a full PCC tour PRD   </w:t>
      </w:r>
    </w:p>
    <w:p w14:paraId="04F54715" w14:textId="0AA23D27" w:rsidR="0058301F" w:rsidRPr="00BD03AC" w:rsidRDefault="68A134EB" w:rsidP="1FCF741B">
      <w:pPr>
        <w:pStyle w:val="ListParagraph"/>
        <w:numPr>
          <w:ilvl w:val="0"/>
          <w:numId w:val="4"/>
        </w:numPr>
        <w:tabs>
          <w:tab w:val="left" w:pos="0"/>
        </w:tabs>
        <w:ind w:left="1080"/>
        <w:rPr>
          <w:color w:val="000000" w:themeColor="text1"/>
        </w:rPr>
      </w:pPr>
      <w:r w:rsidRPr="1FCF741B">
        <w:rPr>
          <w:color w:val="000000" w:themeColor="text1"/>
        </w:rPr>
        <w:t>Three years after completion of all prior Aviation Bonus (AvB) obligations</w:t>
      </w:r>
    </w:p>
    <w:p w14:paraId="70B10E32" w14:textId="4DC32521" w:rsidR="0058301F" w:rsidRPr="00BD03AC" w:rsidRDefault="0058301F" w:rsidP="1FCF741B">
      <w:pPr>
        <w:tabs>
          <w:tab w:val="left" w:pos="0"/>
          <w:tab w:val="left" w:pos="720"/>
        </w:tabs>
        <w:ind w:left="360"/>
        <w:rPr>
          <w:color w:val="000000" w:themeColor="text1"/>
        </w:rPr>
      </w:pPr>
    </w:p>
    <w:p w14:paraId="7C36314B" w14:textId="7A35E627"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Members on ACRB contracts can apply to Defense Contract Management Agency or Major Program Manager but are required to complete a PERS-43 PCC tour to earn the ACRB.  Failure to do so will result in a breach of contract and the immediate recoupment of all disbursed funds.</w:t>
      </w:r>
    </w:p>
    <w:p w14:paraId="0079204C" w14:textId="0DDCB22B" w:rsidR="0058301F" w:rsidRPr="00BD03AC" w:rsidRDefault="0058301F" w:rsidP="1FCF741B">
      <w:pPr>
        <w:tabs>
          <w:tab w:val="left" w:pos="0"/>
        </w:tabs>
        <w:ind w:left="360"/>
        <w:rPr>
          <w:color w:val="000000" w:themeColor="text1"/>
        </w:rPr>
      </w:pPr>
    </w:p>
    <w:p w14:paraId="524FEC22" w14:textId="6F283997"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No contract can exceed the 25th anniversary of year of commissioned service.  For contracts that would extend past 25 years of commissioned service, the contract will be prorated as necessary to expire on the 25th anniversary of commissioned service.</w:t>
      </w:r>
    </w:p>
    <w:p w14:paraId="08F409DD" w14:textId="1BB3DD62" w:rsidR="0058301F" w:rsidRPr="00BD03AC" w:rsidRDefault="0058301F" w:rsidP="1FCF741B">
      <w:pPr>
        <w:tabs>
          <w:tab w:val="left" w:pos="0"/>
        </w:tabs>
        <w:ind w:left="360"/>
        <w:rPr>
          <w:color w:val="000000" w:themeColor="text1"/>
        </w:rPr>
      </w:pPr>
    </w:p>
    <w:p w14:paraId="32CFA444" w14:textId="52193421"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 xml:space="preserve">The first installment payment will be issued upon completion of all prior Aviation Bonus (AvB) obligations or ACRB contract receipt and approval by PERS-43, whichever is later.  The remaining installment payments will be paid on the anniversary of the first payment. </w:t>
      </w:r>
    </w:p>
    <w:p w14:paraId="2B65119A" w14:textId="235D1DE8" w:rsidR="0058301F" w:rsidRPr="00BD03AC" w:rsidRDefault="0058301F" w:rsidP="1FCF741B">
      <w:pPr>
        <w:tabs>
          <w:tab w:val="left" w:pos="0"/>
        </w:tabs>
        <w:rPr>
          <w:color w:val="000000" w:themeColor="text1"/>
        </w:rPr>
      </w:pPr>
    </w:p>
    <w:p w14:paraId="29965E82" w14:textId="720EA841" w:rsidR="0058301F" w:rsidRPr="00BD03AC" w:rsidRDefault="68A134EB" w:rsidP="1FCF741B">
      <w:pPr>
        <w:pStyle w:val="ListParagraph"/>
        <w:numPr>
          <w:ilvl w:val="0"/>
          <w:numId w:val="9"/>
        </w:numPr>
        <w:tabs>
          <w:tab w:val="left" w:pos="0"/>
        </w:tabs>
        <w:ind w:left="0" w:firstLine="360"/>
        <w:rPr>
          <w:color w:val="000000" w:themeColor="text1"/>
        </w:rPr>
      </w:pPr>
      <w:r w:rsidRPr="1FCF741B">
        <w:rPr>
          <w:color w:val="000000" w:themeColor="text1"/>
        </w:rPr>
        <w:t xml:space="preserve">Sea Duty Incentive.  In addition to the base contract amount listed in paragraph 3.a., any officer on an ACRB contract who is assigned to a post command tour on an operational Carrier Strike Group (CSG), Carrier (CVN), or Amphibious Assault Ship (LHA or LHD) will be paid an additional sea duty incentive.  The sea duty incentive is $10,000 per year for 2-year options and $7,000/year for 3-year options.  The sea duty incentive will not be paid until check-in to the PCC tour.  Payment will be initiated when the Service Member emails PERS-435 with stamped orders.  The Service Member will immediately be paid the sea duty incentive for each previous installment payment of the base contract already received.  The sea duty incentive will be added to any remaining installment payments of the base contract.  </w:t>
      </w:r>
    </w:p>
    <w:p w14:paraId="2A0E9598" w14:textId="1C9D9434" w:rsidR="0058301F" w:rsidRPr="00BD03AC" w:rsidRDefault="68A134EB" w:rsidP="1FCF741B">
      <w:pPr>
        <w:rPr>
          <w:color w:val="000000" w:themeColor="text1"/>
        </w:rPr>
      </w:pPr>
      <w:r w:rsidRPr="1FCF741B">
        <w:rPr>
          <w:color w:val="000000" w:themeColor="text1"/>
        </w:rPr>
        <w:t xml:space="preserve"> </w:t>
      </w:r>
    </w:p>
    <w:p w14:paraId="6D02B062" w14:textId="2A0A0310" w:rsidR="0058301F" w:rsidRPr="00BD03AC" w:rsidRDefault="68A134EB" w:rsidP="1FCF741B">
      <w:pPr>
        <w:pStyle w:val="ListParagraph"/>
        <w:numPr>
          <w:ilvl w:val="0"/>
          <w:numId w:val="10"/>
        </w:numPr>
        <w:tabs>
          <w:tab w:val="left" w:pos="360"/>
        </w:tabs>
        <w:rPr>
          <w:color w:val="000000" w:themeColor="text1"/>
        </w:rPr>
      </w:pPr>
      <w:r w:rsidRPr="1FCF741B">
        <w:rPr>
          <w:color w:val="000000" w:themeColor="text1"/>
          <w:u w:val="single"/>
        </w:rPr>
        <w:t>Eligibility.</w:t>
      </w:r>
    </w:p>
    <w:p w14:paraId="408E5DF8" w14:textId="0EB4DAFD" w:rsidR="0058301F" w:rsidRPr="00BD03AC" w:rsidRDefault="0058301F" w:rsidP="1FCF741B">
      <w:pPr>
        <w:rPr>
          <w:color w:val="000000" w:themeColor="text1"/>
        </w:rPr>
      </w:pPr>
    </w:p>
    <w:p w14:paraId="5DEB0140" w14:textId="23CC951F"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a.  ACRB applicants must be active-duty, unrestricted, line aviators with a 1310 or 1320 designator, who screened for command during an Aviation Command Selection Board (ACSB), and must not have assumed command.</w:t>
      </w:r>
    </w:p>
    <w:p w14:paraId="0C8B0794" w14:textId="6463D978" w:rsidR="0058301F" w:rsidRPr="00BD03AC" w:rsidRDefault="0058301F" w:rsidP="1FCF741B">
      <w:pPr>
        <w:tabs>
          <w:tab w:val="left" w:pos="360"/>
        </w:tabs>
        <w:rPr>
          <w:color w:val="000000" w:themeColor="text1"/>
        </w:rPr>
      </w:pPr>
    </w:p>
    <w:p w14:paraId="2E86104C" w14:textId="1D73CC9D"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b.  Eligible commands are those operational (OP), OP-Training (OP-T), and special mission (SM) O-5 commands for which the annual ACSB selects officers to serve as CO, excluding second-in-grade/sequential/bonus/Fleet Replacement Squadron (FRS) commands.</w:t>
      </w:r>
    </w:p>
    <w:p w14:paraId="5684E5D2" w14:textId="45C26C87" w:rsidR="0058301F" w:rsidRPr="00BD03AC" w:rsidRDefault="0058301F" w:rsidP="1FCF741B">
      <w:pPr>
        <w:tabs>
          <w:tab w:val="left" w:pos="360"/>
        </w:tabs>
        <w:rPr>
          <w:color w:val="000000" w:themeColor="text1"/>
        </w:rPr>
      </w:pPr>
    </w:p>
    <w:p w14:paraId="5119097F" w14:textId="703CF39C"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 xml:space="preserve">c.  ACRB applicants who are under a current Aviation Department Head Bonus obligation may apply.  However, contract payment and service obligation will not commence until </w:t>
      </w:r>
      <w:r w:rsidRPr="1FCF741B">
        <w:rPr>
          <w:color w:val="000000" w:themeColor="text1"/>
        </w:rPr>
        <w:lastRenderedPageBreak/>
        <w:t>completion of all prior Aviation Career Continuation Pay (ACCP) or Aviation Bonus (AvB) obligations.</w:t>
      </w:r>
    </w:p>
    <w:p w14:paraId="23AE8744" w14:textId="6AB74D18" w:rsidR="0058301F" w:rsidRPr="00BD03AC" w:rsidRDefault="0058301F" w:rsidP="1FCF741B">
      <w:pPr>
        <w:rPr>
          <w:color w:val="000000" w:themeColor="text1"/>
        </w:rPr>
      </w:pPr>
    </w:p>
    <w:p w14:paraId="09486DB5" w14:textId="4CDED03A"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d.  Reserve aviators who are recalled to active duty, mobilized reserve officers, and officers under Active Duty for Operational Support (ADOS) orders are not eligible to apply for ACRB.</w:t>
      </w:r>
    </w:p>
    <w:p w14:paraId="4C3BEDB3" w14:textId="043B31DD" w:rsidR="0058301F" w:rsidRPr="00BD03AC" w:rsidRDefault="68A134EB" w:rsidP="1FCF741B">
      <w:pPr>
        <w:rPr>
          <w:color w:val="000000" w:themeColor="text1"/>
        </w:rPr>
      </w:pPr>
      <w:r w:rsidRPr="1FCF741B">
        <w:rPr>
          <w:color w:val="000000" w:themeColor="text1"/>
        </w:rPr>
        <w:t xml:space="preserve">  </w:t>
      </w:r>
    </w:p>
    <w:p w14:paraId="30FF46AF" w14:textId="6D5E0923"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e.  An officer who has been selected for and has accepted transfer to another community is not eligible to apply for ACRB.</w:t>
      </w:r>
    </w:p>
    <w:p w14:paraId="6ADE55A0" w14:textId="60F32400" w:rsidR="0058301F" w:rsidRPr="00BD03AC" w:rsidRDefault="0058301F" w:rsidP="1FCF741B">
      <w:pPr>
        <w:tabs>
          <w:tab w:val="left" w:pos="360"/>
        </w:tabs>
        <w:rPr>
          <w:color w:val="000000" w:themeColor="text1"/>
        </w:rPr>
      </w:pPr>
    </w:p>
    <w:p w14:paraId="6EE4C283" w14:textId="351AA431" w:rsidR="0058301F" w:rsidRPr="00BD03AC" w:rsidRDefault="68A134EB" w:rsidP="1FCF741B">
      <w:pPr>
        <w:ind w:firstLine="360"/>
        <w:rPr>
          <w:color w:val="000000" w:themeColor="text1"/>
        </w:rPr>
      </w:pPr>
      <w:r w:rsidRPr="1FCF741B">
        <w:rPr>
          <w:color w:val="000000" w:themeColor="text1"/>
        </w:rPr>
        <w:t xml:space="preserve">f.  ACRB applicants must be a commander (O-5) </w:t>
      </w:r>
      <w:r w:rsidR="000E11FF">
        <w:rPr>
          <w:color w:val="000000" w:themeColor="text1"/>
        </w:rPr>
        <w:t xml:space="preserve">or below </w:t>
      </w:r>
      <w:r w:rsidRPr="1FCF741B">
        <w:rPr>
          <w:color w:val="000000" w:themeColor="text1"/>
        </w:rPr>
        <w:t>at the time of entering the contract.  Applicants may be in the status of selected for captain (O-6), but are ineligible if they have been promoted to captain (O-6).</w:t>
      </w:r>
    </w:p>
    <w:p w14:paraId="0707B671" w14:textId="722F2B4D" w:rsidR="0058301F" w:rsidRPr="00BD03AC" w:rsidRDefault="0058301F" w:rsidP="1FCF741B">
      <w:pPr>
        <w:rPr>
          <w:color w:val="000000" w:themeColor="text1"/>
        </w:rPr>
      </w:pPr>
    </w:p>
    <w:p w14:paraId="14AA7AE6" w14:textId="66631AC9"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 xml:space="preserve">g.  All requirements for AvB participation delineated in SECNAVINST 7220.88 and OPNAVINST 7220.18A apply.  Final determination of an officer’s ACRB eligibility shall be made by PERS-43.  </w:t>
      </w:r>
    </w:p>
    <w:p w14:paraId="1BA4C228" w14:textId="0AC1E366" w:rsidR="0058301F" w:rsidRPr="00BD03AC" w:rsidRDefault="0058301F" w:rsidP="1FCF741B">
      <w:pPr>
        <w:rPr>
          <w:color w:val="000000" w:themeColor="text1"/>
        </w:rPr>
      </w:pPr>
    </w:p>
    <w:p w14:paraId="1488D2F5" w14:textId="4409C487" w:rsidR="0058301F" w:rsidRPr="00BD03AC" w:rsidRDefault="68A134EB" w:rsidP="1FCF741B">
      <w:pPr>
        <w:pStyle w:val="ListParagraph"/>
        <w:numPr>
          <w:ilvl w:val="0"/>
          <w:numId w:val="10"/>
        </w:numPr>
        <w:tabs>
          <w:tab w:val="left" w:pos="360"/>
        </w:tabs>
        <w:rPr>
          <w:color w:val="000000" w:themeColor="text1"/>
        </w:rPr>
      </w:pPr>
      <w:r w:rsidRPr="1FCF741B">
        <w:rPr>
          <w:color w:val="000000" w:themeColor="text1"/>
          <w:u w:val="single"/>
        </w:rPr>
        <w:t>Prohibitions While Under ACRB Contract.</w:t>
      </w:r>
    </w:p>
    <w:p w14:paraId="69EC163A" w14:textId="25754D94" w:rsidR="0058301F" w:rsidRPr="00BD03AC" w:rsidRDefault="0058301F" w:rsidP="1FCF741B">
      <w:pPr>
        <w:rPr>
          <w:color w:val="000000" w:themeColor="text1"/>
        </w:rPr>
      </w:pPr>
    </w:p>
    <w:p w14:paraId="3DA0347B" w14:textId="38766037"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 xml:space="preserve">a.  </w:t>
      </w:r>
      <w:r w:rsidRPr="1FCF741B">
        <w:rPr>
          <w:color w:val="000000" w:themeColor="text1"/>
          <w:u w:val="single"/>
        </w:rPr>
        <w:t>Lateral Transfer/Redesignation</w:t>
      </w:r>
    </w:p>
    <w:p w14:paraId="162DE15C" w14:textId="4A4C5798" w:rsidR="0058301F" w:rsidRPr="00BD03AC" w:rsidRDefault="0058301F" w:rsidP="1FCF741B">
      <w:pPr>
        <w:tabs>
          <w:tab w:val="left" w:pos="360"/>
        </w:tabs>
        <w:rPr>
          <w:color w:val="000000" w:themeColor="text1"/>
        </w:rPr>
      </w:pPr>
    </w:p>
    <w:p w14:paraId="1F732E9A" w14:textId="068360C9" w:rsidR="0058301F" w:rsidRPr="00BD03AC" w:rsidRDefault="68A134EB" w:rsidP="1FCF741B">
      <w:pPr>
        <w:tabs>
          <w:tab w:val="left" w:pos="630"/>
        </w:tabs>
        <w:rPr>
          <w:color w:val="000000" w:themeColor="text1"/>
        </w:rPr>
      </w:pPr>
      <w:r w:rsidRPr="1FCF741B">
        <w:rPr>
          <w:color w:val="000000" w:themeColor="text1"/>
        </w:rPr>
        <w:t xml:space="preserve">       </w:t>
      </w:r>
      <w:r w:rsidR="001D6ABB">
        <w:tab/>
      </w:r>
      <w:r w:rsidRPr="1FCF741B">
        <w:rPr>
          <w:color w:val="000000" w:themeColor="text1"/>
        </w:rPr>
        <w:t>(1) Aviation officers obligated by an ACRB contract are not eligible to apply for a lateral transfer/redesignation board or other programs that require a change of designator until they are within 12 months of expiration of ACRB obligated service.</w:t>
      </w:r>
    </w:p>
    <w:p w14:paraId="6DC0AABC" w14:textId="0FDB9F29" w:rsidR="0058301F" w:rsidRPr="00BD03AC" w:rsidRDefault="0058301F" w:rsidP="1FCF741B">
      <w:pPr>
        <w:rPr>
          <w:color w:val="000000" w:themeColor="text1"/>
        </w:rPr>
      </w:pPr>
    </w:p>
    <w:p w14:paraId="4092BA43" w14:textId="5A613E23" w:rsidR="0058301F" w:rsidRPr="00BD03AC" w:rsidRDefault="68A134EB" w:rsidP="1FCF741B">
      <w:pPr>
        <w:tabs>
          <w:tab w:val="left" w:pos="630"/>
        </w:tabs>
        <w:rPr>
          <w:color w:val="000000" w:themeColor="text1"/>
        </w:rPr>
      </w:pPr>
      <w:r w:rsidRPr="1FCF741B">
        <w:rPr>
          <w:color w:val="000000" w:themeColor="text1"/>
        </w:rPr>
        <w:t xml:space="preserve">        </w:t>
      </w:r>
      <w:r w:rsidR="001D6ABB">
        <w:tab/>
      </w:r>
      <w:r w:rsidRPr="1FCF741B">
        <w:rPr>
          <w:color w:val="000000" w:themeColor="text1"/>
        </w:rPr>
        <w:t xml:space="preserve">(2) If selected for lateral transfer, redesignation, or other programs that require a change of designator, redesignation of the officer to the new community will neither be executed, nor will the officer be released to the new community for duty, until completion of ACRB service obligation or PRD from current orders, whichever is later.  </w:t>
      </w:r>
    </w:p>
    <w:p w14:paraId="2676F2A7" w14:textId="677E38BD" w:rsidR="0058301F" w:rsidRPr="00BD03AC" w:rsidRDefault="0058301F" w:rsidP="1FCF741B">
      <w:pPr>
        <w:tabs>
          <w:tab w:val="left" w:pos="630"/>
        </w:tabs>
        <w:rPr>
          <w:color w:val="000000" w:themeColor="text1"/>
        </w:rPr>
      </w:pPr>
    </w:p>
    <w:p w14:paraId="1CAA8F6A" w14:textId="224CE61F" w:rsidR="0058301F" w:rsidRPr="00BD03AC" w:rsidRDefault="68A134EB" w:rsidP="1FCF741B">
      <w:pPr>
        <w:tabs>
          <w:tab w:val="left" w:pos="630"/>
        </w:tabs>
        <w:ind w:left="360"/>
        <w:rPr>
          <w:color w:val="000000" w:themeColor="text1"/>
        </w:rPr>
      </w:pPr>
      <w:r w:rsidRPr="1FCF741B">
        <w:rPr>
          <w:color w:val="000000" w:themeColor="text1"/>
        </w:rPr>
        <w:t xml:space="preserve"> b.  </w:t>
      </w:r>
      <w:r w:rsidRPr="1FCF741B">
        <w:rPr>
          <w:color w:val="000000" w:themeColor="text1"/>
          <w:u w:val="single"/>
        </w:rPr>
        <w:t>Separation/Retirement</w:t>
      </w:r>
    </w:p>
    <w:p w14:paraId="4542B9AA" w14:textId="63D69AED" w:rsidR="0058301F" w:rsidRPr="00BD03AC" w:rsidRDefault="0058301F" w:rsidP="1FCF741B">
      <w:pPr>
        <w:tabs>
          <w:tab w:val="left" w:pos="630"/>
        </w:tabs>
        <w:ind w:left="360"/>
        <w:rPr>
          <w:color w:val="000000" w:themeColor="text1"/>
        </w:rPr>
      </w:pPr>
    </w:p>
    <w:p w14:paraId="5848E2BC" w14:textId="7E267FF0" w:rsidR="0058301F" w:rsidRPr="00BD03AC" w:rsidRDefault="68A134EB" w:rsidP="1FCF741B">
      <w:pPr>
        <w:tabs>
          <w:tab w:val="left" w:pos="0"/>
        </w:tabs>
        <w:ind w:firstLine="630"/>
        <w:rPr>
          <w:color w:val="000000" w:themeColor="text1"/>
        </w:rPr>
      </w:pPr>
      <w:r w:rsidRPr="1FCF741B">
        <w:rPr>
          <w:color w:val="000000" w:themeColor="text1"/>
        </w:rPr>
        <w:t>(1) Aviation officers obligated by an ACRB contract are not eligible to apply for separation until they are within 12 months of expiration of ACRB obligated service.</w:t>
      </w:r>
    </w:p>
    <w:p w14:paraId="5DC4C117" w14:textId="42312F69" w:rsidR="0058301F" w:rsidRPr="00BD03AC" w:rsidRDefault="0058301F" w:rsidP="1FCF741B">
      <w:pPr>
        <w:tabs>
          <w:tab w:val="left" w:pos="0"/>
        </w:tabs>
        <w:ind w:firstLine="630"/>
        <w:rPr>
          <w:color w:val="000000" w:themeColor="text1"/>
        </w:rPr>
      </w:pPr>
    </w:p>
    <w:p w14:paraId="25FE4A7E" w14:textId="04B3496E" w:rsidR="0058301F" w:rsidRPr="00BD03AC" w:rsidRDefault="68A134EB" w:rsidP="1FCF741B">
      <w:pPr>
        <w:tabs>
          <w:tab w:val="left" w:pos="0"/>
        </w:tabs>
        <w:ind w:firstLine="630"/>
        <w:rPr>
          <w:color w:val="000000" w:themeColor="text1"/>
        </w:rPr>
      </w:pPr>
      <w:r w:rsidRPr="1FCF741B">
        <w:rPr>
          <w:color w:val="000000" w:themeColor="text1"/>
        </w:rPr>
        <w:t>(2) Aviation officers obligated by an ACRB contract are not eligible to apply for retirement until they are within 12 months of expiration of ACRB obligated service.</w:t>
      </w:r>
    </w:p>
    <w:p w14:paraId="62D14803" w14:textId="5DDA9EF6" w:rsidR="0058301F" w:rsidRPr="00BD03AC" w:rsidRDefault="0058301F" w:rsidP="1FCF741B">
      <w:pPr>
        <w:tabs>
          <w:tab w:val="left" w:pos="0"/>
        </w:tabs>
        <w:ind w:firstLine="630"/>
        <w:rPr>
          <w:color w:val="000000" w:themeColor="text1"/>
        </w:rPr>
      </w:pPr>
    </w:p>
    <w:p w14:paraId="73518F35" w14:textId="3D34279E" w:rsidR="0058301F" w:rsidRPr="00BD03AC" w:rsidRDefault="68A134EB" w:rsidP="1FCF741B">
      <w:pPr>
        <w:pStyle w:val="ListParagraph"/>
        <w:numPr>
          <w:ilvl w:val="0"/>
          <w:numId w:val="10"/>
        </w:numPr>
        <w:tabs>
          <w:tab w:val="left" w:pos="360"/>
        </w:tabs>
        <w:rPr>
          <w:color w:val="000000" w:themeColor="text1"/>
        </w:rPr>
      </w:pPr>
      <w:r w:rsidRPr="1FCF741B">
        <w:rPr>
          <w:color w:val="000000" w:themeColor="text1"/>
          <w:u w:val="single"/>
        </w:rPr>
        <w:t>Repayment Policy.</w:t>
      </w:r>
    </w:p>
    <w:p w14:paraId="057ACFE0" w14:textId="3044CEAF" w:rsidR="0058301F" w:rsidRPr="00BD03AC" w:rsidRDefault="68A134EB" w:rsidP="1FCF741B">
      <w:pPr>
        <w:rPr>
          <w:color w:val="000000" w:themeColor="text1"/>
        </w:rPr>
      </w:pPr>
      <w:r w:rsidRPr="1FCF741B">
        <w:rPr>
          <w:color w:val="000000" w:themeColor="text1"/>
        </w:rPr>
        <w:t xml:space="preserve">  </w:t>
      </w:r>
    </w:p>
    <w:p w14:paraId="611100A4" w14:textId="7C78A369" w:rsidR="0058301F" w:rsidRPr="00BD03AC" w:rsidRDefault="68A134EB" w:rsidP="1FCF741B">
      <w:pPr>
        <w:tabs>
          <w:tab w:val="left" w:pos="360"/>
        </w:tabs>
        <w:rPr>
          <w:color w:val="000000" w:themeColor="text1"/>
        </w:rPr>
      </w:pPr>
      <w:r w:rsidRPr="1FCF741B">
        <w:rPr>
          <w:color w:val="000000" w:themeColor="text1"/>
        </w:rPr>
        <w:t xml:space="preserve">    </w:t>
      </w:r>
      <w:r w:rsidR="001D6ABB">
        <w:tab/>
      </w:r>
      <w:r w:rsidRPr="1FCF741B">
        <w:rPr>
          <w:color w:val="000000" w:themeColor="text1"/>
        </w:rPr>
        <w:t xml:space="preserve">a.  In order to maintain ACRB eligibility while under contract, officers must remain on active duty in aviation service in their 1310 or 1320 designator, must maintain eligibility for Aviation Incentive Pay (AvIP), and continue to meet all eligibility requirements listed in this memo, Title 37, DoDI 7730.67, SECNAVINST 7220.88, and OPNAVINST 7220.18A.  Officers who fail to fulfill the terms of the contract will be subject to the repayment stipulations delineated in the </w:t>
      </w:r>
      <w:r w:rsidRPr="1FCF741B">
        <w:rPr>
          <w:color w:val="000000" w:themeColor="text1"/>
        </w:rPr>
        <w:lastRenderedPageBreak/>
        <w:t xml:space="preserve">Department of Defense FMR Volume 7A Chapter 2, SECNAVINST 7220.88, and OPNAVINST 7220.18A.  </w:t>
      </w:r>
    </w:p>
    <w:p w14:paraId="561F9B2E" w14:textId="33101007" w:rsidR="0058301F" w:rsidRPr="00BD03AC" w:rsidRDefault="0058301F" w:rsidP="1FCF741B">
      <w:pPr>
        <w:rPr>
          <w:color w:val="000000" w:themeColor="text1"/>
        </w:rPr>
      </w:pPr>
    </w:p>
    <w:p w14:paraId="6C320C5A" w14:textId="7E08AE90" w:rsidR="0058301F" w:rsidRPr="00BD03AC" w:rsidRDefault="68A134EB" w:rsidP="1FCF741B">
      <w:pPr>
        <w:pStyle w:val="ListParagraph"/>
        <w:numPr>
          <w:ilvl w:val="0"/>
          <w:numId w:val="8"/>
        </w:numPr>
        <w:tabs>
          <w:tab w:val="left" w:pos="360"/>
        </w:tabs>
        <w:ind w:left="0" w:firstLine="360"/>
        <w:rPr>
          <w:color w:val="000000" w:themeColor="text1"/>
        </w:rPr>
      </w:pPr>
      <w:r w:rsidRPr="1FCF741B">
        <w:rPr>
          <w:color w:val="000000" w:themeColor="text1"/>
        </w:rPr>
        <w:t xml:space="preserve">A member who is detached for cause (DFC), relieved, or removed from an assigned billet for adverse reasons, is no longer eligible for the ACRB.  In these cases, scheduled future payments will be cancelled as of DFC date, relief date, or removal date.  Additionally, the unearned portion of ACRB will be repaid.  If ACRB eligibility is terminated for DFC or other adverse circumstances, eligibility for any future ACRB offering will not be reinstated for any reason.  The unearned portion is the percentage of time remaining on the contract (i.e., time remaining on the contract divided by the total contract length, using the obligation start and end dates described in paragraphs 3.b through 3.e, as applicable) multiplied by the total contract amount.  If a member received a sea duty incentive, $10,000 per year is earned evenly over the entire contract length, not just the time on sea duty.  </w:t>
      </w:r>
    </w:p>
    <w:p w14:paraId="05DF6036" w14:textId="08843C36" w:rsidR="0058301F" w:rsidRPr="00BD03AC" w:rsidRDefault="0058301F" w:rsidP="1FCF741B">
      <w:pPr>
        <w:tabs>
          <w:tab w:val="left" w:pos="360"/>
        </w:tabs>
        <w:ind w:left="360"/>
        <w:rPr>
          <w:color w:val="000000" w:themeColor="text1"/>
        </w:rPr>
      </w:pPr>
    </w:p>
    <w:p w14:paraId="4D952B5C" w14:textId="6B08F983" w:rsidR="0058301F" w:rsidRPr="00BD03AC" w:rsidRDefault="68A134EB" w:rsidP="1FCF741B">
      <w:pPr>
        <w:pStyle w:val="ListParagraph"/>
        <w:numPr>
          <w:ilvl w:val="1"/>
          <w:numId w:val="8"/>
        </w:numPr>
        <w:tabs>
          <w:tab w:val="left" w:pos="360"/>
          <w:tab w:val="left" w:pos="720"/>
          <w:tab w:val="left" w:pos="1080"/>
        </w:tabs>
        <w:ind w:left="0" w:firstLine="720"/>
        <w:rPr>
          <w:color w:val="000000" w:themeColor="text1"/>
        </w:rPr>
      </w:pPr>
      <w:r w:rsidRPr="1FCF741B">
        <w:rPr>
          <w:color w:val="000000" w:themeColor="text1"/>
        </w:rPr>
        <w:t>Example 1: An officer selected for aviation command accepts a three-year contract at 16.5 YCS, starts command at 17.5 YCS and is DFC’d at 18.5 YCS.  As the officer has not reached the start of the obligated service, none of the bonus is earned and all payments previously made will be recouped.</w:t>
      </w:r>
    </w:p>
    <w:p w14:paraId="62126C8C" w14:textId="7F02D871" w:rsidR="0058301F" w:rsidRPr="00BD03AC" w:rsidRDefault="68A134EB" w:rsidP="1FCF741B">
      <w:pPr>
        <w:pStyle w:val="ListParagraph"/>
        <w:numPr>
          <w:ilvl w:val="1"/>
          <w:numId w:val="8"/>
        </w:numPr>
        <w:tabs>
          <w:tab w:val="left" w:pos="360"/>
          <w:tab w:val="left" w:pos="1080"/>
        </w:tabs>
        <w:ind w:left="0" w:firstLine="720"/>
        <w:rPr>
          <w:color w:val="000000" w:themeColor="text1"/>
        </w:rPr>
      </w:pPr>
      <w:r w:rsidRPr="1FCF741B">
        <w:rPr>
          <w:color w:val="000000" w:themeColor="text1"/>
        </w:rPr>
        <w:t xml:space="preserve">Example 2: An officer selected for aviation command accepts a three-year contract at 16.5 YCS, completes command at 18.7 YCS, reports to sea duty at 19YCS and is detached for cause at 20 YCS, halfway through the sea tour.  The obligation start date is completion of 19 YCS and the obligation end date is completion of 22 YCS.  The officer served one year of the obligated service before becoming ineligible, so $50,000 of the $150,000 paid is earned and $100,000 will be recouped.  In this case, the officer would have received $43,000 at 16.5 YCS, $43,000 at 17.5 YCS, $43,000 at 18.5 YCS and $21,000 in sea duty incentive upon reporting to sea duty at 19 YCS. </w:t>
      </w:r>
    </w:p>
    <w:p w14:paraId="6DB60724" w14:textId="68429E36" w:rsidR="0058301F" w:rsidRPr="00BD03AC" w:rsidRDefault="68A134EB" w:rsidP="1FCF741B">
      <w:pPr>
        <w:pStyle w:val="ListParagraph"/>
        <w:numPr>
          <w:ilvl w:val="1"/>
          <w:numId w:val="8"/>
        </w:numPr>
        <w:tabs>
          <w:tab w:val="left" w:pos="360"/>
        </w:tabs>
        <w:ind w:left="0" w:firstLine="720"/>
        <w:rPr>
          <w:color w:val="000000" w:themeColor="text1"/>
        </w:rPr>
      </w:pPr>
      <w:r w:rsidRPr="1FCF741B">
        <w:rPr>
          <w:color w:val="000000" w:themeColor="text1"/>
        </w:rPr>
        <w:t>Example 3: An officer selected for aviation command accepts a three-year contract at 16.5 YCS, completes command at 19 YCS and starts a three-year PCC shore tour at 19.5 YCS.  The officer is detached for cause at 20 YCS.  In this case, the obligated service was 3.5 years (from completion of 19 YCS to the expected completion of the three-year shore tour at 22.5 YCS) and one year was earned, so 28.57% of the bonus was earned.  The other 71.43% of the $129,000 received will be recouped.   In this case, the officer would have received $43,000 at 16.5 YCS, $43,000 at 17.5 YCS, and $43,000 at 18.5 YCS.</w:t>
      </w:r>
    </w:p>
    <w:p w14:paraId="2CDEB8F9" w14:textId="3F036605" w:rsidR="0058301F" w:rsidRPr="00BD03AC" w:rsidRDefault="0058301F" w:rsidP="1FCF741B">
      <w:pPr>
        <w:tabs>
          <w:tab w:val="left" w:pos="360"/>
        </w:tabs>
        <w:rPr>
          <w:color w:val="000000" w:themeColor="text1"/>
        </w:rPr>
      </w:pPr>
    </w:p>
    <w:p w14:paraId="1D4CA52E" w14:textId="1D0D9664" w:rsidR="0058301F" w:rsidRPr="00BD03AC" w:rsidRDefault="68A134EB" w:rsidP="1FCF741B">
      <w:pPr>
        <w:tabs>
          <w:tab w:val="left" w:pos="360"/>
        </w:tabs>
        <w:rPr>
          <w:color w:val="000000" w:themeColor="text1"/>
        </w:rPr>
      </w:pPr>
      <w:r w:rsidRPr="1FCF741B">
        <w:rPr>
          <w:color w:val="000000" w:themeColor="text1"/>
        </w:rPr>
        <w:t xml:space="preserve">c.  A member who resigns command is no longer eligible for the ACRB future payments.  A member may keep payments received if they fulfill a full PCC tour.  </w:t>
      </w:r>
    </w:p>
    <w:p w14:paraId="60E7B831" w14:textId="742F52D4" w:rsidR="0058301F" w:rsidRPr="00BD03AC" w:rsidRDefault="0058301F" w:rsidP="1FCF741B">
      <w:pPr>
        <w:tabs>
          <w:tab w:val="left" w:pos="360"/>
        </w:tabs>
        <w:rPr>
          <w:color w:val="000000" w:themeColor="text1"/>
        </w:rPr>
      </w:pPr>
    </w:p>
    <w:p w14:paraId="328EC6A5" w14:textId="3CBE5549" w:rsidR="0058301F" w:rsidRPr="00BD03AC" w:rsidRDefault="68A134EB" w:rsidP="1FCF741B">
      <w:pPr>
        <w:pStyle w:val="ListParagraph"/>
        <w:numPr>
          <w:ilvl w:val="0"/>
          <w:numId w:val="10"/>
        </w:numPr>
        <w:tabs>
          <w:tab w:val="left" w:pos="360"/>
        </w:tabs>
        <w:ind w:left="0" w:firstLine="0"/>
        <w:rPr>
          <w:color w:val="000000" w:themeColor="text1"/>
        </w:rPr>
      </w:pPr>
      <w:r w:rsidRPr="1FCF741B">
        <w:rPr>
          <w:color w:val="000000" w:themeColor="text1"/>
          <w:u w:val="single"/>
        </w:rPr>
        <w:t>Application Procedures</w:t>
      </w:r>
      <w:r w:rsidRPr="1FCF741B">
        <w:rPr>
          <w:color w:val="000000" w:themeColor="text1"/>
        </w:rPr>
        <w:t xml:space="preserve">.  Digital submissions are preferred.  E-mail a signed copy of the ACRB contract to Ms. Melinda Weeden at </w:t>
      </w:r>
      <w:hyperlink r:id="rId11">
        <w:r w:rsidRPr="1FCF741B">
          <w:rPr>
            <w:rStyle w:val="Hyperlink"/>
          </w:rPr>
          <w:t>melinda.s.weeden.civ@us.navy.mil</w:t>
        </w:r>
      </w:hyperlink>
      <w:r w:rsidRPr="1FCF741B">
        <w:rPr>
          <w:color w:val="000000" w:themeColor="text1"/>
        </w:rPr>
        <w:t xml:space="preserve"> (cc the AvB program manager at </w:t>
      </w:r>
      <w:hyperlink r:id="rId12">
        <w:r w:rsidRPr="1FCF741B">
          <w:rPr>
            <w:rStyle w:val="Hyperlink"/>
          </w:rPr>
          <w:t>avipandavb@us.navy.mil</w:t>
        </w:r>
      </w:hyperlink>
      <w:r w:rsidRPr="1FCF741B">
        <w:rPr>
          <w:color w:val="000000" w:themeColor="text1"/>
        </w:rPr>
        <w:t xml:space="preserve">).  If unable to send electronically then mail the original to Commander, Navy Personnel Command, PERS-435, 5720 Integrity Drive, Millington, TN  38055-4300.  Applications must be received at PERS-43 no later than 07 September.  </w:t>
      </w:r>
      <w:r w:rsidRPr="1FCF741B">
        <w:rPr>
          <w:b/>
          <w:bCs/>
          <w:color w:val="000000" w:themeColor="text1"/>
        </w:rPr>
        <w:t>The ACRB constitutes a binding legal contract, and will be considered binding as of contract approval date by PERS-43</w:t>
      </w:r>
      <w:r w:rsidRPr="1FCF741B">
        <w:rPr>
          <w:color w:val="000000" w:themeColor="text1"/>
        </w:rPr>
        <w:t xml:space="preserve">.  As such, applicants must sign and submit the ACRB contract exactly as written in the enclosure, verbatim.  Applications containing language or content deviations will be rejected.  Please use the Microsoft Word template provided at: </w:t>
      </w:r>
    </w:p>
    <w:p w14:paraId="1415BDE8" w14:textId="13711163" w:rsidR="0058301F" w:rsidRPr="00BD03AC" w:rsidRDefault="68A134EB" w:rsidP="1FCF741B">
      <w:pPr>
        <w:rPr>
          <w:color w:val="000000" w:themeColor="text1"/>
        </w:rPr>
      </w:pPr>
      <w:hyperlink r:id="rId13">
        <w:r w:rsidRPr="1FCF741B">
          <w:rPr>
            <w:rStyle w:val="Hyperlink"/>
          </w:rPr>
          <w:t>https://www.mynavyhr.navy.mil/Career-Management/Detailing/Officer/Pers-43-Aviation/OCM/AvB-The-Bonus/</w:t>
        </w:r>
      </w:hyperlink>
    </w:p>
    <w:p w14:paraId="41AEE729" w14:textId="32D1B3FC" w:rsidR="0058301F" w:rsidRPr="00BD03AC" w:rsidRDefault="0058301F" w:rsidP="1FCF741B">
      <w:pPr>
        <w:rPr>
          <w:color w:val="000000" w:themeColor="text1"/>
        </w:rPr>
      </w:pPr>
    </w:p>
    <w:p w14:paraId="24CE8013" w14:textId="443C9274" w:rsidR="0058301F" w:rsidRPr="00BD03AC" w:rsidRDefault="68A134EB" w:rsidP="1FCF741B">
      <w:pPr>
        <w:pStyle w:val="ListParagraph"/>
        <w:numPr>
          <w:ilvl w:val="0"/>
          <w:numId w:val="10"/>
        </w:numPr>
        <w:tabs>
          <w:tab w:val="left" w:pos="360"/>
        </w:tabs>
        <w:ind w:left="0" w:firstLine="0"/>
        <w:rPr>
          <w:color w:val="000000" w:themeColor="text1"/>
        </w:rPr>
      </w:pPr>
      <w:r w:rsidRPr="1FCF741B">
        <w:rPr>
          <w:color w:val="000000" w:themeColor="text1"/>
        </w:rPr>
        <w:t>PERS-43 is the program manager for all AvB program execution issues to include policy, eligibility, and termination.  Upon acceptance of an officer’s agreement by the program manager, the amount of the bonus becomes fixed and the officer will incur a firm service obligation.</w:t>
      </w:r>
    </w:p>
    <w:p w14:paraId="4BC989CC" w14:textId="622506D7" w:rsidR="0058301F" w:rsidRPr="00BD03AC" w:rsidRDefault="0058301F" w:rsidP="1FCF741B">
      <w:pPr>
        <w:rPr>
          <w:color w:val="000000" w:themeColor="text1"/>
        </w:rPr>
      </w:pPr>
    </w:p>
    <w:p w14:paraId="74A371C8" w14:textId="28F742AD" w:rsidR="0058301F" w:rsidRPr="00BD03AC" w:rsidRDefault="68A134EB" w:rsidP="1FCF741B">
      <w:pPr>
        <w:pStyle w:val="ListParagraph"/>
        <w:numPr>
          <w:ilvl w:val="0"/>
          <w:numId w:val="10"/>
        </w:numPr>
        <w:tabs>
          <w:tab w:val="left" w:pos="360"/>
        </w:tabs>
        <w:ind w:left="0" w:firstLine="0"/>
        <w:rPr>
          <w:color w:val="000000" w:themeColor="text1"/>
        </w:rPr>
      </w:pPr>
      <w:r w:rsidRPr="1FCF741B">
        <w:rPr>
          <w:color w:val="000000" w:themeColor="text1"/>
          <w:u w:val="single"/>
        </w:rPr>
        <w:t>Points of Contact</w:t>
      </w:r>
      <w:r w:rsidRPr="1FCF741B">
        <w:rPr>
          <w:color w:val="000000" w:themeColor="text1"/>
        </w:rPr>
        <w:t>.  For application questions, please contact Ms. Melinda Weeden via e-</w:t>
      </w:r>
      <w:r w:rsidRPr="1FCF741B">
        <w:rPr>
          <w:color w:val="000000" w:themeColor="text1"/>
          <w:lang w:val="pt-BR"/>
        </w:rPr>
        <w:t xml:space="preserve">mail at </w:t>
      </w:r>
      <w:hyperlink r:id="rId14">
        <w:r w:rsidRPr="1FCF741B">
          <w:rPr>
            <w:rStyle w:val="Hyperlink"/>
            <w:lang w:val="pt-BR"/>
          </w:rPr>
          <w:t>melinda.s.weeden.civ@us.navy.mil</w:t>
        </w:r>
      </w:hyperlink>
      <w:r w:rsidRPr="1FCF741B">
        <w:rPr>
          <w:color w:val="000000" w:themeColor="text1"/>
          <w:lang w:val="pt-BR"/>
        </w:rPr>
        <w:t xml:space="preserve">.  For </w:t>
      </w:r>
      <w:r w:rsidRPr="1FCF741B">
        <w:rPr>
          <w:color w:val="000000" w:themeColor="text1"/>
        </w:rPr>
        <w:t xml:space="preserve">policy questions please contact the AvB Program Manager at (901) 874-3484/DSN 882, or e-mail at </w:t>
      </w:r>
      <w:hyperlink r:id="rId15">
        <w:r w:rsidRPr="1FCF741B">
          <w:rPr>
            <w:rStyle w:val="Hyperlink"/>
          </w:rPr>
          <w:t>avipandavb@us.navy.mil</w:t>
        </w:r>
      </w:hyperlink>
      <w:r w:rsidRPr="1FCF741B">
        <w:rPr>
          <w:color w:val="000000" w:themeColor="text1"/>
        </w:rPr>
        <w:t>.</w:t>
      </w:r>
    </w:p>
    <w:p w14:paraId="4AAD1672" w14:textId="3A627DC9" w:rsidR="0058301F" w:rsidRPr="00BD03AC" w:rsidRDefault="0058301F" w:rsidP="1FCF741B">
      <w:pPr>
        <w:tabs>
          <w:tab w:val="left" w:pos="360"/>
        </w:tabs>
      </w:pPr>
    </w:p>
    <w:sectPr w:rsidR="0058301F" w:rsidRPr="00BD03AC" w:rsidSect="00E2180A">
      <w:footerReference w:type="even" r:id="rId16"/>
      <w:footerReference w:type="default" r:id="rId17"/>
      <w:footerReference w:type="first" r:id="rId18"/>
      <w:pgSz w:w="12240" w:h="15840"/>
      <w:pgMar w:top="1440" w:right="1440" w:bottom="1440" w:left="1440" w:header="720" w:footer="11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886B" w14:textId="77777777" w:rsidR="009974AE" w:rsidRDefault="009974AE">
      <w:r>
        <w:separator/>
      </w:r>
    </w:p>
  </w:endnote>
  <w:endnote w:type="continuationSeparator" w:id="0">
    <w:p w14:paraId="62C53C01" w14:textId="77777777" w:rsidR="009974AE" w:rsidRDefault="0099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0EE5" w14:textId="77777777" w:rsidR="00CF4F89" w:rsidRDefault="00CF4F89" w:rsidP="007843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172922" w14:textId="77777777" w:rsidR="00CF4F89" w:rsidRDefault="00CF4F89" w:rsidP="007843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0955" w14:textId="650AC60F" w:rsidR="00CF4F89" w:rsidRPr="005F52B4" w:rsidRDefault="00CF4F89" w:rsidP="00E2180A">
    <w:pPr>
      <w:pStyle w:val="Footer"/>
      <w:jc w:val="center"/>
    </w:pPr>
    <w:r w:rsidRPr="0043406B">
      <w:fldChar w:fldCharType="begin"/>
    </w:r>
    <w:r w:rsidRPr="0043406B">
      <w:instrText xml:space="preserve"> PAGE   \* MERGEFORMAT </w:instrText>
    </w:r>
    <w:r w:rsidRPr="0043406B">
      <w:fldChar w:fldCharType="separate"/>
    </w:r>
    <w:r w:rsidR="00377E71">
      <w:rPr>
        <w:noProof/>
      </w:rPr>
      <w:t>5</w:t>
    </w:r>
    <w:r w:rsidRPr="0043406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87173"/>
      <w:docPartObj>
        <w:docPartGallery w:val="Page Numbers (Bottom of Page)"/>
        <w:docPartUnique/>
      </w:docPartObj>
    </w:sdtPr>
    <w:sdtEndPr>
      <w:rPr>
        <w:noProof/>
      </w:rPr>
    </w:sdtEndPr>
    <w:sdtContent>
      <w:p w14:paraId="3DEBC433" w14:textId="42245491" w:rsidR="001B07F7" w:rsidRPr="005F52B4" w:rsidRDefault="00DF6B01" w:rsidP="00E2180A">
        <w:pPr>
          <w:pStyle w:val="Footer"/>
          <w:jc w:val="center"/>
        </w:pPr>
        <w:r>
          <w:fldChar w:fldCharType="begin"/>
        </w:r>
        <w:r>
          <w:instrText xml:space="preserve"> PAGE   \* MERGEFORMAT </w:instrText>
        </w:r>
        <w:r>
          <w:fldChar w:fldCharType="separate"/>
        </w:r>
        <w:r w:rsidR="00377E7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A5DE" w14:textId="77777777" w:rsidR="009974AE" w:rsidRDefault="009974AE">
      <w:r>
        <w:separator/>
      </w:r>
    </w:p>
  </w:footnote>
  <w:footnote w:type="continuationSeparator" w:id="0">
    <w:p w14:paraId="6677C2D0" w14:textId="77777777" w:rsidR="009974AE" w:rsidRDefault="00997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2F2A"/>
    <w:multiLevelType w:val="hybridMultilevel"/>
    <w:tmpl w:val="AF445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60079"/>
    <w:multiLevelType w:val="multilevel"/>
    <w:tmpl w:val="81700AB4"/>
    <w:lvl w:ilvl="0">
      <w:start w:val="1"/>
      <w:numFmt w:val="decimal"/>
      <w:lvlText w:val="%1)"/>
      <w:lvlJc w:val="left"/>
      <w:pPr>
        <w:tabs>
          <w:tab w:val="num" w:pos="360"/>
        </w:tabs>
        <w:ind w:left="360" w:hanging="360"/>
      </w:pPr>
      <w:rPr>
        <w:b w:val="0"/>
      </w:rPr>
    </w:lvl>
    <w:lvl w:ilvl="1">
      <w:start w:val="1"/>
      <w:numFmt w:val="bullet"/>
      <w:lvlText w:val=""/>
      <w:lvlJc w:val="left"/>
      <w:pPr>
        <w:tabs>
          <w:tab w:val="num" w:pos="720"/>
        </w:tabs>
        <w:ind w:left="720" w:hanging="360"/>
      </w:pPr>
      <w:rPr>
        <w:rFonts w:ascii="Symbol" w:hAnsi="Symbol"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720"/>
        </w:tabs>
        <w:ind w:left="72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51BE5"/>
    <w:multiLevelType w:val="hybridMultilevel"/>
    <w:tmpl w:val="60889A40"/>
    <w:lvl w:ilvl="0" w:tplc="F23A3822">
      <w:start w:val="2"/>
      <w:numFmt w:val="lowerLetter"/>
      <w:lvlText w:val="%1."/>
      <w:lvlJc w:val="left"/>
      <w:pPr>
        <w:ind w:left="720" w:hanging="360"/>
      </w:pPr>
    </w:lvl>
    <w:lvl w:ilvl="1" w:tplc="FBFE08D0">
      <w:start w:val="1"/>
      <w:numFmt w:val="lowerLetter"/>
      <w:lvlText w:val="%2."/>
      <w:lvlJc w:val="left"/>
      <w:pPr>
        <w:ind w:left="1440" w:hanging="360"/>
      </w:pPr>
    </w:lvl>
    <w:lvl w:ilvl="2" w:tplc="66506FFC">
      <w:start w:val="1"/>
      <w:numFmt w:val="lowerRoman"/>
      <w:lvlText w:val="%3."/>
      <w:lvlJc w:val="right"/>
      <w:pPr>
        <w:ind w:left="2160" w:hanging="180"/>
      </w:pPr>
    </w:lvl>
    <w:lvl w:ilvl="3" w:tplc="8CAE9148">
      <w:start w:val="1"/>
      <w:numFmt w:val="decimal"/>
      <w:lvlText w:val="%4."/>
      <w:lvlJc w:val="left"/>
      <w:pPr>
        <w:ind w:left="2880" w:hanging="360"/>
      </w:pPr>
    </w:lvl>
    <w:lvl w:ilvl="4" w:tplc="07824BDA">
      <w:start w:val="1"/>
      <w:numFmt w:val="lowerLetter"/>
      <w:lvlText w:val="%5."/>
      <w:lvlJc w:val="left"/>
      <w:pPr>
        <w:ind w:left="3600" w:hanging="360"/>
      </w:pPr>
    </w:lvl>
    <w:lvl w:ilvl="5" w:tplc="4BB25824">
      <w:start w:val="1"/>
      <w:numFmt w:val="lowerRoman"/>
      <w:lvlText w:val="%6."/>
      <w:lvlJc w:val="right"/>
      <w:pPr>
        <w:ind w:left="4320" w:hanging="180"/>
      </w:pPr>
    </w:lvl>
    <w:lvl w:ilvl="6" w:tplc="F1F63464">
      <w:start w:val="1"/>
      <w:numFmt w:val="decimal"/>
      <w:lvlText w:val="%7."/>
      <w:lvlJc w:val="left"/>
      <w:pPr>
        <w:ind w:left="5040" w:hanging="360"/>
      </w:pPr>
    </w:lvl>
    <w:lvl w:ilvl="7" w:tplc="63EA8AD2">
      <w:start w:val="1"/>
      <w:numFmt w:val="lowerLetter"/>
      <w:lvlText w:val="%8."/>
      <w:lvlJc w:val="left"/>
      <w:pPr>
        <w:ind w:left="5760" w:hanging="360"/>
      </w:pPr>
    </w:lvl>
    <w:lvl w:ilvl="8" w:tplc="40D2476E">
      <w:start w:val="1"/>
      <w:numFmt w:val="lowerRoman"/>
      <w:lvlText w:val="%9."/>
      <w:lvlJc w:val="right"/>
      <w:pPr>
        <w:ind w:left="6480" w:hanging="180"/>
      </w:pPr>
    </w:lvl>
  </w:abstractNum>
  <w:abstractNum w:abstractNumId="3" w15:restartNumberingAfterBreak="0">
    <w:nsid w:val="0CA307E3"/>
    <w:multiLevelType w:val="hybridMultilevel"/>
    <w:tmpl w:val="6D5489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976DAE"/>
    <w:multiLevelType w:val="multilevel"/>
    <w:tmpl w:val="9B42D502"/>
    <w:lvl w:ilvl="0">
      <w:start w:val="1"/>
      <w:numFmt w:val="lowerLetter"/>
      <w:lvlText w:val="%1)"/>
      <w:lvlJc w:val="left"/>
      <w:pPr>
        <w:tabs>
          <w:tab w:val="num" w:pos="720"/>
        </w:tabs>
        <w:ind w:left="720" w:hanging="360"/>
      </w:pPr>
      <w:rPr>
        <w:rFonts w:hint="default"/>
        <w:b w:val="0"/>
      </w:rPr>
    </w:lvl>
    <w:lvl w:ilvl="1">
      <w:start w:val="2"/>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0F005F5"/>
    <w:multiLevelType w:val="hybridMultilevel"/>
    <w:tmpl w:val="53901E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C0237F"/>
    <w:multiLevelType w:val="hybridMultilevel"/>
    <w:tmpl w:val="1E9A614E"/>
    <w:lvl w:ilvl="0" w:tplc="868A0400">
      <w:start w:val="1"/>
      <w:numFmt w:val="lowerLetter"/>
      <w:lvlText w:val="%1."/>
      <w:lvlJc w:val="left"/>
      <w:pPr>
        <w:ind w:left="720" w:hanging="360"/>
      </w:pPr>
    </w:lvl>
    <w:lvl w:ilvl="1" w:tplc="F14A3F10">
      <w:start w:val="1"/>
      <w:numFmt w:val="lowerLetter"/>
      <w:lvlText w:val="%2."/>
      <w:lvlJc w:val="left"/>
      <w:pPr>
        <w:ind w:left="1440" w:hanging="360"/>
      </w:pPr>
    </w:lvl>
    <w:lvl w:ilvl="2" w:tplc="C762888C">
      <w:start w:val="1"/>
      <w:numFmt w:val="lowerRoman"/>
      <w:lvlText w:val="%3."/>
      <w:lvlJc w:val="right"/>
      <w:pPr>
        <w:ind w:left="2160" w:hanging="180"/>
      </w:pPr>
    </w:lvl>
    <w:lvl w:ilvl="3" w:tplc="C378772E">
      <w:start w:val="1"/>
      <w:numFmt w:val="decimal"/>
      <w:lvlText w:val="%4."/>
      <w:lvlJc w:val="left"/>
      <w:pPr>
        <w:ind w:left="2880" w:hanging="360"/>
      </w:pPr>
    </w:lvl>
    <w:lvl w:ilvl="4" w:tplc="A184EED0">
      <w:start w:val="1"/>
      <w:numFmt w:val="lowerLetter"/>
      <w:lvlText w:val="%5."/>
      <w:lvlJc w:val="left"/>
      <w:pPr>
        <w:ind w:left="3600" w:hanging="360"/>
      </w:pPr>
    </w:lvl>
    <w:lvl w:ilvl="5" w:tplc="66AC4026">
      <w:start w:val="1"/>
      <w:numFmt w:val="lowerRoman"/>
      <w:lvlText w:val="%6."/>
      <w:lvlJc w:val="right"/>
      <w:pPr>
        <w:ind w:left="4320" w:hanging="180"/>
      </w:pPr>
    </w:lvl>
    <w:lvl w:ilvl="6" w:tplc="532A05A2">
      <w:start w:val="1"/>
      <w:numFmt w:val="decimal"/>
      <w:lvlText w:val="%7."/>
      <w:lvlJc w:val="left"/>
      <w:pPr>
        <w:ind w:left="5040" w:hanging="360"/>
      </w:pPr>
    </w:lvl>
    <w:lvl w:ilvl="7" w:tplc="653C3F80">
      <w:start w:val="1"/>
      <w:numFmt w:val="lowerLetter"/>
      <w:lvlText w:val="%8."/>
      <w:lvlJc w:val="left"/>
      <w:pPr>
        <w:ind w:left="5760" w:hanging="360"/>
      </w:pPr>
    </w:lvl>
    <w:lvl w:ilvl="8" w:tplc="6CB4B83C">
      <w:start w:val="1"/>
      <w:numFmt w:val="lowerRoman"/>
      <w:lvlText w:val="%9."/>
      <w:lvlJc w:val="right"/>
      <w:pPr>
        <w:ind w:left="6480" w:hanging="180"/>
      </w:pPr>
    </w:lvl>
  </w:abstractNum>
  <w:abstractNum w:abstractNumId="7" w15:restartNumberingAfterBreak="0">
    <w:nsid w:val="1754152D"/>
    <w:multiLevelType w:val="hybridMultilevel"/>
    <w:tmpl w:val="DE086CEC"/>
    <w:lvl w:ilvl="0" w:tplc="35E6020C">
      <w:start w:val="3"/>
      <w:numFmt w:val="decimal"/>
      <w:lvlText w:val="%1."/>
      <w:lvlJc w:val="left"/>
      <w:pPr>
        <w:ind w:left="360" w:hanging="360"/>
      </w:pPr>
    </w:lvl>
    <w:lvl w:ilvl="1" w:tplc="F7D2B4BA">
      <w:start w:val="1"/>
      <w:numFmt w:val="lowerLetter"/>
      <w:lvlText w:val="%2."/>
      <w:lvlJc w:val="left"/>
      <w:pPr>
        <w:ind w:left="1440" w:hanging="360"/>
      </w:pPr>
    </w:lvl>
    <w:lvl w:ilvl="2" w:tplc="F10288B2">
      <w:start w:val="1"/>
      <w:numFmt w:val="lowerRoman"/>
      <w:lvlText w:val="%3."/>
      <w:lvlJc w:val="right"/>
      <w:pPr>
        <w:ind w:left="2160" w:hanging="180"/>
      </w:pPr>
    </w:lvl>
    <w:lvl w:ilvl="3" w:tplc="7624AA2A">
      <w:start w:val="1"/>
      <w:numFmt w:val="decimal"/>
      <w:lvlText w:val="%4."/>
      <w:lvlJc w:val="left"/>
      <w:pPr>
        <w:ind w:left="2880" w:hanging="360"/>
      </w:pPr>
    </w:lvl>
    <w:lvl w:ilvl="4" w:tplc="7F927EA0">
      <w:start w:val="1"/>
      <w:numFmt w:val="lowerLetter"/>
      <w:lvlText w:val="%5."/>
      <w:lvlJc w:val="left"/>
      <w:pPr>
        <w:ind w:left="3600" w:hanging="360"/>
      </w:pPr>
    </w:lvl>
    <w:lvl w:ilvl="5" w:tplc="22709F3C">
      <w:start w:val="1"/>
      <w:numFmt w:val="lowerRoman"/>
      <w:lvlText w:val="%6."/>
      <w:lvlJc w:val="right"/>
      <w:pPr>
        <w:ind w:left="4320" w:hanging="180"/>
      </w:pPr>
    </w:lvl>
    <w:lvl w:ilvl="6" w:tplc="4CDE3D6C">
      <w:start w:val="1"/>
      <w:numFmt w:val="decimal"/>
      <w:lvlText w:val="%7."/>
      <w:lvlJc w:val="left"/>
      <w:pPr>
        <w:ind w:left="5040" w:hanging="360"/>
      </w:pPr>
    </w:lvl>
    <w:lvl w:ilvl="7" w:tplc="E5D02010">
      <w:start w:val="1"/>
      <w:numFmt w:val="lowerLetter"/>
      <w:lvlText w:val="%8."/>
      <w:lvlJc w:val="left"/>
      <w:pPr>
        <w:ind w:left="5760" w:hanging="360"/>
      </w:pPr>
    </w:lvl>
    <w:lvl w:ilvl="8" w:tplc="5F64E760">
      <w:start w:val="1"/>
      <w:numFmt w:val="lowerRoman"/>
      <w:lvlText w:val="%9."/>
      <w:lvlJc w:val="right"/>
      <w:pPr>
        <w:ind w:left="6480" w:hanging="180"/>
      </w:pPr>
    </w:lvl>
  </w:abstractNum>
  <w:abstractNum w:abstractNumId="8" w15:restartNumberingAfterBreak="0">
    <w:nsid w:val="19197E22"/>
    <w:multiLevelType w:val="hybridMultilevel"/>
    <w:tmpl w:val="08C85198"/>
    <w:lvl w:ilvl="0" w:tplc="FCA867F2">
      <w:start w:val="4"/>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9" w15:restartNumberingAfterBreak="0">
    <w:nsid w:val="19CE3C00"/>
    <w:multiLevelType w:val="hybridMultilevel"/>
    <w:tmpl w:val="8EB2C3B8"/>
    <w:lvl w:ilvl="0" w:tplc="A70AC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8F17AE"/>
    <w:multiLevelType w:val="multilevel"/>
    <w:tmpl w:val="F2E603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964101D"/>
    <w:multiLevelType w:val="hybridMultilevel"/>
    <w:tmpl w:val="6DF01ADC"/>
    <w:lvl w:ilvl="0" w:tplc="BACEE172">
      <w:start w:val="1"/>
      <w:numFmt w:val="decimal"/>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14A0B"/>
    <w:multiLevelType w:val="hybridMultilevel"/>
    <w:tmpl w:val="6D54894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088062B"/>
    <w:multiLevelType w:val="multilevel"/>
    <w:tmpl w:val="9B42D502"/>
    <w:lvl w:ilvl="0">
      <w:start w:val="1"/>
      <w:numFmt w:val="lowerLetter"/>
      <w:lvlText w:val="%1)"/>
      <w:lvlJc w:val="left"/>
      <w:pPr>
        <w:tabs>
          <w:tab w:val="num" w:pos="720"/>
        </w:tabs>
        <w:ind w:left="720" w:hanging="360"/>
      </w:pPr>
      <w:rPr>
        <w:rFonts w:hint="default"/>
        <w:b w:val="0"/>
      </w:rPr>
    </w:lvl>
    <w:lvl w:ilvl="1">
      <w:start w:val="2"/>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3C97141"/>
    <w:multiLevelType w:val="hybridMultilevel"/>
    <w:tmpl w:val="15768EBE"/>
    <w:lvl w:ilvl="0" w:tplc="8A1E11EC">
      <w:start w:val="5"/>
      <w:numFmt w:val="lowerLetter"/>
      <w:lvlText w:val="%1."/>
      <w:lvlJc w:val="left"/>
      <w:pPr>
        <w:ind w:left="720" w:hanging="360"/>
      </w:pPr>
    </w:lvl>
    <w:lvl w:ilvl="1" w:tplc="F2847142">
      <w:start w:val="1"/>
      <w:numFmt w:val="lowerLetter"/>
      <w:lvlText w:val="%2."/>
      <w:lvlJc w:val="left"/>
      <w:pPr>
        <w:ind w:left="1440" w:hanging="360"/>
      </w:pPr>
    </w:lvl>
    <w:lvl w:ilvl="2" w:tplc="8A961B14">
      <w:start w:val="1"/>
      <w:numFmt w:val="lowerRoman"/>
      <w:lvlText w:val="%3."/>
      <w:lvlJc w:val="right"/>
      <w:pPr>
        <w:ind w:left="2160" w:hanging="180"/>
      </w:pPr>
    </w:lvl>
    <w:lvl w:ilvl="3" w:tplc="4F8AD1B4">
      <w:start w:val="1"/>
      <w:numFmt w:val="decimal"/>
      <w:lvlText w:val="%4."/>
      <w:lvlJc w:val="left"/>
      <w:pPr>
        <w:ind w:left="2880" w:hanging="360"/>
      </w:pPr>
    </w:lvl>
    <w:lvl w:ilvl="4" w:tplc="91249606">
      <w:start w:val="1"/>
      <w:numFmt w:val="lowerLetter"/>
      <w:lvlText w:val="%5."/>
      <w:lvlJc w:val="left"/>
      <w:pPr>
        <w:ind w:left="3600" w:hanging="360"/>
      </w:pPr>
    </w:lvl>
    <w:lvl w:ilvl="5" w:tplc="0F5208F6">
      <w:start w:val="1"/>
      <w:numFmt w:val="lowerRoman"/>
      <w:lvlText w:val="%6."/>
      <w:lvlJc w:val="right"/>
      <w:pPr>
        <w:ind w:left="4320" w:hanging="180"/>
      </w:pPr>
    </w:lvl>
    <w:lvl w:ilvl="6" w:tplc="0D28F960">
      <w:start w:val="1"/>
      <w:numFmt w:val="decimal"/>
      <w:lvlText w:val="%7."/>
      <w:lvlJc w:val="left"/>
      <w:pPr>
        <w:ind w:left="5040" w:hanging="360"/>
      </w:pPr>
    </w:lvl>
    <w:lvl w:ilvl="7" w:tplc="9006C3D6">
      <w:start w:val="1"/>
      <w:numFmt w:val="lowerLetter"/>
      <w:lvlText w:val="%8."/>
      <w:lvlJc w:val="left"/>
      <w:pPr>
        <w:ind w:left="5760" w:hanging="360"/>
      </w:pPr>
    </w:lvl>
    <w:lvl w:ilvl="8" w:tplc="90080C68">
      <w:start w:val="1"/>
      <w:numFmt w:val="lowerRoman"/>
      <w:lvlText w:val="%9."/>
      <w:lvlJc w:val="right"/>
      <w:pPr>
        <w:ind w:left="6480" w:hanging="180"/>
      </w:pPr>
    </w:lvl>
  </w:abstractNum>
  <w:abstractNum w:abstractNumId="15" w15:restartNumberingAfterBreak="0">
    <w:nsid w:val="355B1CB3"/>
    <w:multiLevelType w:val="hybridMultilevel"/>
    <w:tmpl w:val="BB32DDE8"/>
    <w:lvl w:ilvl="0" w:tplc="88884198">
      <w:start w:val="6"/>
      <w:numFmt w:val="lowerLetter"/>
      <w:lvlText w:val="%1."/>
      <w:lvlJc w:val="left"/>
      <w:pPr>
        <w:ind w:left="720" w:hanging="360"/>
      </w:pPr>
    </w:lvl>
    <w:lvl w:ilvl="1" w:tplc="C7BAB8A8">
      <w:start w:val="1"/>
      <w:numFmt w:val="lowerLetter"/>
      <w:lvlText w:val="%2."/>
      <w:lvlJc w:val="left"/>
      <w:pPr>
        <w:ind w:left="1440" w:hanging="360"/>
      </w:pPr>
    </w:lvl>
    <w:lvl w:ilvl="2" w:tplc="B00671DA">
      <w:start w:val="1"/>
      <w:numFmt w:val="lowerRoman"/>
      <w:lvlText w:val="%3."/>
      <w:lvlJc w:val="right"/>
      <w:pPr>
        <w:ind w:left="2160" w:hanging="180"/>
      </w:pPr>
    </w:lvl>
    <w:lvl w:ilvl="3" w:tplc="43880404">
      <w:start w:val="1"/>
      <w:numFmt w:val="decimal"/>
      <w:lvlText w:val="%4."/>
      <w:lvlJc w:val="left"/>
      <w:pPr>
        <w:ind w:left="2880" w:hanging="360"/>
      </w:pPr>
    </w:lvl>
    <w:lvl w:ilvl="4" w:tplc="61DCCC24">
      <w:start w:val="1"/>
      <w:numFmt w:val="lowerLetter"/>
      <w:lvlText w:val="%5."/>
      <w:lvlJc w:val="left"/>
      <w:pPr>
        <w:ind w:left="3600" w:hanging="360"/>
      </w:pPr>
    </w:lvl>
    <w:lvl w:ilvl="5" w:tplc="FD8C685C">
      <w:start w:val="1"/>
      <w:numFmt w:val="lowerRoman"/>
      <w:lvlText w:val="%6."/>
      <w:lvlJc w:val="right"/>
      <w:pPr>
        <w:ind w:left="4320" w:hanging="180"/>
      </w:pPr>
    </w:lvl>
    <w:lvl w:ilvl="6" w:tplc="059ED936">
      <w:start w:val="1"/>
      <w:numFmt w:val="decimal"/>
      <w:lvlText w:val="%7."/>
      <w:lvlJc w:val="left"/>
      <w:pPr>
        <w:ind w:left="5040" w:hanging="360"/>
      </w:pPr>
    </w:lvl>
    <w:lvl w:ilvl="7" w:tplc="7546A222">
      <w:start w:val="1"/>
      <w:numFmt w:val="lowerLetter"/>
      <w:lvlText w:val="%8."/>
      <w:lvlJc w:val="left"/>
      <w:pPr>
        <w:ind w:left="5760" w:hanging="360"/>
      </w:pPr>
    </w:lvl>
    <w:lvl w:ilvl="8" w:tplc="6D1647A2">
      <w:start w:val="1"/>
      <w:numFmt w:val="lowerRoman"/>
      <w:lvlText w:val="%9."/>
      <w:lvlJc w:val="right"/>
      <w:pPr>
        <w:ind w:left="6480" w:hanging="180"/>
      </w:pPr>
    </w:lvl>
  </w:abstractNum>
  <w:abstractNum w:abstractNumId="16" w15:restartNumberingAfterBreak="0">
    <w:nsid w:val="38247E50"/>
    <w:multiLevelType w:val="hybridMultilevel"/>
    <w:tmpl w:val="5CB636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7" w15:restartNumberingAfterBreak="0">
    <w:nsid w:val="39E41222"/>
    <w:multiLevelType w:val="hybridMultilevel"/>
    <w:tmpl w:val="CF80E2F6"/>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10CDC"/>
    <w:multiLevelType w:val="hybridMultilevel"/>
    <w:tmpl w:val="E3025170"/>
    <w:lvl w:ilvl="0" w:tplc="97F64932">
      <w:start w:val="3"/>
      <w:numFmt w:val="decimal"/>
      <w:lvlText w:val="%1."/>
      <w:lvlJc w:val="left"/>
      <w:pPr>
        <w:ind w:left="360" w:hanging="360"/>
      </w:pPr>
    </w:lvl>
    <w:lvl w:ilvl="1" w:tplc="763422C2">
      <w:start w:val="1"/>
      <w:numFmt w:val="lowerLetter"/>
      <w:lvlText w:val="%2."/>
      <w:lvlJc w:val="left"/>
      <w:pPr>
        <w:ind w:left="1440" w:hanging="360"/>
      </w:pPr>
    </w:lvl>
    <w:lvl w:ilvl="2" w:tplc="F508F7E4">
      <w:start w:val="1"/>
      <w:numFmt w:val="lowerRoman"/>
      <w:lvlText w:val="%3."/>
      <w:lvlJc w:val="right"/>
      <w:pPr>
        <w:ind w:left="2160" w:hanging="180"/>
      </w:pPr>
    </w:lvl>
    <w:lvl w:ilvl="3" w:tplc="A372C6B6">
      <w:start w:val="1"/>
      <w:numFmt w:val="decimal"/>
      <w:lvlText w:val="%4."/>
      <w:lvlJc w:val="left"/>
      <w:pPr>
        <w:ind w:left="2880" w:hanging="360"/>
      </w:pPr>
    </w:lvl>
    <w:lvl w:ilvl="4" w:tplc="B4302A56">
      <w:start w:val="1"/>
      <w:numFmt w:val="lowerLetter"/>
      <w:lvlText w:val="%5."/>
      <w:lvlJc w:val="left"/>
      <w:pPr>
        <w:ind w:left="3600" w:hanging="360"/>
      </w:pPr>
    </w:lvl>
    <w:lvl w:ilvl="5" w:tplc="9EFA6866">
      <w:start w:val="1"/>
      <w:numFmt w:val="lowerRoman"/>
      <w:lvlText w:val="%6."/>
      <w:lvlJc w:val="right"/>
      <w:pPr>
        <w:ind w:left="4320" w:hanging="180"/>
      </w:pPr>
    </w:lvl>
    <w:lvl w:ilvl="6" w:tplc="76FC44BE">
      <w:start w:val="1"/>
      <w:numFmt w:val="decimal"/>
      <w:lvlText w:val="%7."/>
      <w:lvlJc w:val="left"/>
      <w:pPr>
        <w:ind w:left="5040" w:hanging="360"/>
      </w:pPr>
    </w:lvl>
    <w:lvl w:ilvl="7" w:tplc="C2469AC2">
      <w:start w:val="1"/>
      <w:numFmt w:val="lowerLetter"/>
      <w:lvlText w:val="%8."/>
      <w:lvlJc w:val="left"/>
      <w:pPr>
        <w:ind w:left="5760" w:hanging="360"/>
      </w:pPr>
    </w:lvl>
    <w:lvl w:ilvl="8" w:tplc="6B32D6AA">
      <w:start w:val="1"/>
      <w:numFmt w:val="lowerRoman"/>
      <w:lvlText w:val="%9."/>
      <w:lvlJc w:val="right"/>
      <w:pPr>
        <w:ind w:left="6480" w:hanging="180"/>
      </w:pPr>
    </w:lvl>
  </w:abstractNum>
  <w:abstractNum w:abstractNumId="19" w15:restartNumberingAfterBreak="0">
    <w:nsid w:val="44BA95B9"/>
    <w:multiLevelType w:val="hybridMultilevel"/>
    <w:tmpl w:val="49FE078E"/>
    <w:lvl w:ilvl="0" w:tplc="2FF09796">
      <w:start w:val="1"/>
      <w:numFmt w:val="decimal"/>
      <w:lvlText w:val="%1)"/>
      <w:lvlJc w:val="left"/>
      <w:pPr>
        <w:ind w:left="1440" w:hanging="360"/>
      </w:pPr>
    </w:lvl>
    <w:lvl w:ilvl="1" w:tplc="BB6EDBC0">
      <w:start w:val="1"/>
      <w:numFmt w:val="lowerLetter"/>
      <w:lvlText w:val="%2."/>
      <w:lvlJc w:val="left"/>
      <w:pPr>
        <w:ind w:left="1440" w:hanging="360"/>
      </w:pPr>
    </w:lvl>
    <w:lvl w:ilvl="2" w:tplc="E2F0A3B0">
      <w:start w:val="1"/>
      <w:numFmt w:val="lowerRoman"/>
      <w:lvlText w:val="%3."/>
      <w:lvlJc w:val="right"/>
      <w:pPr>
        <w:ind w:left="2160" w:hanging="180"/>
      </w:pPr>
    </w:lvl>
    <w:lvl w:ilvl="3" w:tplc="0B565AB6">
      <w:start w:val="1"/>
      <w:numFmt w:val="decimal"/>
      <w:lvlText w:val="%4."/>
      <w:lvlJc w:val="left"/>
      <w:pPr>
        <w:ind w:left="2880" w:hanging="360"/>
      </w:pPr>
    </w:lvl>
    <w:lvl w:ilvl="4" w:tplc="5720C21C">
      <w:start w:val="1"/>
      <w:numFmt w:val="lowerLetter"/>
      <w:lvlText w:val="%5."/>
      <w:lvlJc w:val="left"/>
      <w:pPr>
        <w:ind w:left="3600" w:hanging="360"/>
      </w:pPr>
    </w:lvl>
    <w:lvl w:ilvl="5" w:tplc="657CADE6">
      <w:start w:val="1"/>
      <w:numFmt w:val="lowerRoman"/>
      <w:lvlText w:val="%6."/>
      <w:lvlJc w:val="right"/>
      <w:pPr>
        <w:ind w:left="4320" w:hanging="180"/>
      </w:pPr>
    </w:lvl>
    <w:lvl w:ilvl="6" w:tplc="F23A5208">
      <w:start w:val="1"/>
      <w:numFmt w:val="decimal"/>
      <w:lvlText w:val="%7."/>
      <w:lvlJc w:val="left"/>
      <w:pPr>
        <w:ind w:left="5040" w:hanging="360"/>
      </w:pPr>
    </w:lvl>
    <w:lvl w:ilvl="7" w:tplc="91B68C3A">
      <w:start w:val="1"/>
      <w:numFmt w:val="lowerLetter"/>
      <w:lvlText w:val="%8."/>
      <w:lvlJc w:val="left"/>
      <w:pPr>
        <w:ind w:left="5760" w:hanging="360"/>
      </w:pPr>
    </w:lvl>
    <w:lvl w:ilvl="8" w:tplc="2C4CD5B6">
      <w:start w:val="1"/>
      <w:numFmt w:val="lowerRoman"/>
      <w:lvlText w:val="%9."/>
      <w:lvlJc w:val="right"/>
      <w:pPr>
        <w:ind w:left="6480" w:hanging="180"/>
      </w:pPr>
    </w:lvl>
  </w:abstractNum>
  <w:abstractNum w:abstractNumId="20" w15:restartNumberingAfterBreak="0">
    <w:nsid w:val="4D4D4A5B"/>
    <w:multiLevelType w:val="hybridMultilevel"/>
    <w:tmpl w:val="B13E2D7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52424FEB"/>
    <w:multiLevelType w:val="hybridMultilevel"/>
    <w:tmpl w:val="1BD0688C"/>
    <w:lvl w:ilvl="0" w:tplc="254646C8">
      <w:start w:val="3"/>
      <w:numFmt w:val="decimal"/>
      <w:lvlText w:val="%1."/>
      <w:lvlJc w:val="left"/>
      <w:pPr>
        <w:ind w:left="360" w:hanging="360"/>
      </w:pPr>
    </w:lvl>
    <w:lvl w:ilvl="1" w:tplc="E93A12BE">
      <w:start w:val="1"/>
      <w:numFmt w:val="lowerLetter"/>
      <w:lvlText w:val="%2."/>
      <w:lvlJc w:val="left"/>
      <w:pPr>
        <w:ind w:left="1440" w:hanging="360"/>
      </w:pPr>
    </w:lvl>
    <w:lvl w:ilvl="2" w:tplc="4FA28CF0">
      <w:start w:val="1"/>
      <w:numFmt w:val="lowerRoman"/>
      <w:lvlText w:val="%3."/>
      <w:lvlJc w:val="right"/>
      <w:pPr>
        <w:ind w:left="2160" w:hanging="180"/>
      </w:pPr>
    </w:lvl>
    <w:lvl w:ilvl="3" w:tplc="76E216BC">
      <w:start w:val="1"/>
      <w:numFmt w:val="decimal"/>
      <w:lvlText w:val="%4."/>
      <w:lvlJc w:val="left"/>
      <w:pPr>
        <w:ind w:left="2880" w:hanging="360"/>
      </w:pPr>
    </w:lvl>
    <w:lvl w:ilvl="4" w:tplc="9C226514">
      <w:start w:val="1"/>
      <w:numFmt w:val="lowerLetter"/>
      <w:lvlText w:val="%5."/>
      <w:lvlJc w:val="left"/>
      <w:pPr>
        <w:ind w:left="3600" w:hanging="360"/>
      </w:pPr>
    </w:lvl>
    <w:lvl w:ilvl="5" w:tplc="4692BA0A">
      <w:start w:val="1"/>
      <w:numFmt w:val="lowerRoman"/>
      <w:lvlText w:val="%6."/>
      <w:lvlJc w:val="right"/>
      <w:pPr>
        <w:ind w:left="4320" w:hanging="180"/>
      </w:pPr>
    </w:lvl>
    <w:lvl w:ilvl="6" w:tplc="A8E4BC64">
      <w:start w:val="1"/>
      <w:numFmt w:val="decimal"/>
      <w:lvlText w:val="%7."/>
      <w:lvlJc w:val="left"/>
      <w:pPr>
        <w:ind w:left="5040" w:hanging="360"/>
      </w:pPr>
    </w:lvl>
    <w:lvl w:ilvl="7" w:tplc="B88A38B6">
      <w:start w:val="1"/>
      <w:numFmt w:val="lowerLetter"/>
      <w:lvlText w:val="%8."/>
      <w:lvlJc w:val="left"/>
      <w:pPr>
        <w:ind w:left="5760" w:hanging="360"/>
      </w:pPr>
    </w:lvl>
    <w:lvl w:ilvl="8" w:tplc="29561492">
      <w:start w:val="1"/>
      <w:numFmt w:val="lowerRoman"/>
      <w:lvlText w:val="%9."/>
      <w:lvlJc w:val="right"/>
      <w:pPr>
        <w:ind w:left="6480" w:hanging="180"/>
      </w:pPr>
    </w:lvl>
  </w:abstractNum>
  <w:abstractNum w:abstractNumId="22" w15:restartNumberingAfterBreak="0">
    <w:nsid w:val="57DF402F"/>
    <w:multiLevelType w:val="hybridMultilevel"/>
    <w:tmpl w:val="08283898"/>
    <w:lvl w:ilvl="0" w:tplc="B1220D1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CA6BA3"/>
    <w:multiLevelType w:val="hybridMultilevel"/>
    <w:tmpl w:val="C7661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6769D"/>
    <w:multiLevelType w:val="hybridMultilevel"/>
    <w:tmpl w:val="9288ECAE"/>
    <w:lvl w:ilvl="0" w:tplc="38988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2B5EC8"/>
    <w:multiLevelType w:val="hybridMultilevel"/>
    <w:tmpl w:val="E9EA62E2"/>
    <w:lvl w:ilvl="0" w:tplc="56069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313706"/>
    <w:multiLevelType w:val="hybridMultilevel"/>
    <w:tmpl w:val="84C4D7B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4365E"/>
    <w:multiLevelType w:val="hybridMultilevel"/>
    <w:tmpl w:val="94982666"/>
    <w:lvl w:ilvl="0" w:tplc="6F96364C">
      <w:start w:val="1"/>
      <w:numFmt w:val="lowerLetter"/>
      <w:lvlText w:val="%1."/>
      <w:lvlJc w:val="left"/>
      <w:pPr>
        <w:ind w:left="720" w:hanging="360"/>
      </w:pPr>
    </w:lvl>
    <w:lvl w:ilvl="1" w:tplc="55504CBA">
      <w:start w:val="1"/>
      <w:numFmt w:val="decimal"/>
      <w:lvlText w:val="%2)"/>
      <w:lvlJc w:val="left"/>
      <w:pPr>
        <w:ind w:left="1440" w:hanging="360"/>
      </w:pPr>
    </w:lvl>
    <w:lvl w:ilvl="2" w:tplc="E500DA54">
      <w:start w:val="1"/>
      <w:numFmt w:val="lowerRoman"/>
      <w:lvlText w:val="%3."/>
      <w:lvlJc w:val="right"/>
      <w:pPr>
        <w:ind w:left="2160" w:hanging="180"/>
      </w:pPr>
    </w:lvl>
    <w:lvl w:ilvl="3" w:tplc="5380D836">
      <w:start w:val="1"/>
      <w:numFmt w:val="decimal"/>
      <w:lvlText w:val="%4."/>
      <w:lvlJc w:val="left"/>
      <w:pPr>
        <w:ind w:left="2880" w:hanging="360"/>
      </w:pPr>
    </w:lvl>
    <w:lvl w:ilvl="4" w:tplc="3500C3C4">
      <w:start w:val="1"/>
      <w:numFmt w:val="lowerLetter"/>
      <w:lvlText w:val="%5."/>
      <w:lvlJc w:val="left"/>
      <w:pPr>
        <w:ind w:left="3600" w:hanging="360"/>
      </w:pPr>
    </w:lvl>
    <w:lvl w:ilvl="5" w:tplc="DA800538">
      <w:start w:val="1"/>
      <w:numFmt w:val="lowerRoman"/>
      <w:lvlText w:val="%6."/>
      <w:lvlJc w:val="right"/>
      <w:pPr>
        <w:ind w:left="4320" w:hanging="180"/>
      </w:pPr>
    </w:lvl>
    <w:lvl w:ilvl="6" w:tplc="72000782">
      <w:start w:val="1"/>
      <w:numFmt w:val="decimal"/>
      <w:lvlText w:val="%7."/>
      <w:lvlJc w:val="left"/>
      <w:pPr>
        <w:ind w:left="5040" w:hanging="360"/>
      </w:pPr>
    </w:lvl>
    <w:lvl w:ilvl="7" w:tplc="8368BF4C">
      <w:start w:val="1"/>
      <w:numFmt w:val="lowerLetter"/>
      <w:lvlText w:val="%8."/>
      <w:lvlJc w:val="left"/>
      <w:pPr>
        <w:ind w:left="5760" w:hanging="360"/>
      </w:pPr>
    </w:lvl>
    <w:lvl w:ilvl="8" w:tplc="73E24554">
      <w:start w:val="1"/>
      <w:numFmt w:val="lowerRoman"/>
      <w:lvlText w:val="%9."/>
      <w:lvlJc w:val="right"/>
      <w:pPr>
        <w:ind w:left="6480" w:hanging="180"/>
      </w:pPr>
    </w:lvl>
  </w:abstractNum>
  <w:abstractNum w:abstractNumId="28" w15:restartNumberingAfterBreak="0">
    <w:nsid w:val="6921792D"/>
    <w:multiLevelType w:val="hybridMultilevel"/>
    <w:tmpl w:val="755826D4"/>
    <w:lvl w:ilvl="0" w:tplc="F7CC06C6">
      <w:start w:val="1"/>
      <w:numFmt w:val="bullet"/>
      <w:lvlText w:val=""/>
      <w:lvlJc w:val="left"/>
      <w:pPr>
        <w:ind w:left="1446" w:hanging="360"/>
      </w:pPr>
      <w:rPr>
        <w:rFonts w:ascii="Symbol" w:hAnsi="Symbol" w:hint="default"/>
      </w:rPr>
    </w:lvl>
    <w:lvl w:ilvl="1" w:tplc="33082E80">
      <w:start w:val="1"/>
      <w:numFmt w:val="bullet"/>
      <w:lvlText w:val="o"/>
      <w:lvlJc w:val="left"/>
      <w:pPr>
        <w:ind w:left="2166" w:hanging="360"/>
      </w:pPr>
      <w:rPr>
        <w:rFonts w:ascii="Symbol" w:hAnsi="Symbol" w:hint="default"/>
      </w:rPr>
    </w:lvl>
    <w:lvl w:ilvl="2" w:tplc="672A14F0">
      <w:start w:val="1"/>
      <w:numFmt w:val="bullet"/>
      <w:lvlText w:val=""/>
      <w:lvlJc w:val="left"/>
      <w:pPr>
        <w:ind w:left="2160" w:hanging="360"/>
      </w:pPr>
      <w:rPr>
        <w:rFonts w:ascii="Wingdings" w:hAnsi="Wingdings" w:hint="default"/>
      </w:rPr>
    </w:lvl>
    <w:lvl w:ilvl="3" w:tplc="B9DA5294">
      <w:start w:val="1"/>
      <w:numFmt w:val="bullet"/>
      <w:lvlText w:val=""/>
      <w:lvlJc w:val="left"/>
      <w:pPr>
        <w:ind w:left="2880" w:hanging="360"/>
      </w:pPr>
      <w:rPr>
        <w:rFonts w:ascii="Symbol" w:hAnsi="Symbol" w:hint="default"/>
      </w:rPr>
    </w:lvl>
    <w:lvl w:ilvl="4" w:tplc="77B0FB06">
      <w:start w:val="1"/>
      <w:numFmt w:val="bullet"/>
      <w:lvlText w:val="o"/>
      <w:lvlJc w:val="left"/>
      <w:pPr>
        <w:ind w:left="3600" w:hanging="360"/>
      </w:pPr>
      <w:rPr>
        <w:rFonts w:ascii="Courier New" w:hAnsi="Courier New" w:hint="default"/>
      </w:rPr>
    </w:lvl>
    <w:lvl w:ilvl="5" w:tplc="AA4CB036">
      <w:start w:val="1"/>
      <w:numFmt w:val="bullet"/>
      <w:lvlText w:val=""/>
      <w:lvlJc w:val="left"/>
      <w:pPr>
        <w:ind w:left="4320" w:hanging="360"/>
      </w:pPr>
      <w:rPr>
        <w:rFonts w:ascii="Wingdings" w:hAnsi="Wingdings" w:hint="default"/>
      </w:rPr>
    </w:lvl>
    <w:lvl w:ilvl="6" w:tplc="A9AA8D3C">
      <w:start w:val="1"/>
      <w:numFmt w:val="bullet"/>
      <w:lvlText w:val=""/>
      <w:lvlJc w:val="left"/>
      <w:pPr>
        <w:ind w:left="5040" w:hanging="360"/>
      </w:pPr>
      <w:rPr>
        <w:rFonts w:ascii="Symbol" w:hAnsi="Symbol" w:hint="default"/>
      </w:rPr>
    </w:lvl>
    <w:lvl w:ilvl="7" w:tplc="C9287ECC">
      <w:start w:val="1"/>
      <w:numFmt w:val="bullet"/>
      <w:lvlText w:val="o"/>
      <w:lvlJc w:val="left"/>
      <w:pPr>
        <w:ind w:left="5760" w:hanging="360"/>
      </w:pPr>
      <w:rPr>
        <w:rFonts w:ascii="Courier New" w:hAnsi="Courier New" w:hint="default"/>
      </w:rPr>
    </w:lvl>
    <w:lvl w:ilvl="8" w:tplc="D3805D80">
      <w:start w:val="1"/>
      <w:numFmt w:val="bullet"/>
      <w:lvlText w:val=""/>
      <w:lvlJc w:val="left"/>
      <w:pPr>
        <w:ind w:left="6480" w:hanging="360"/>
      </w:pPr>
      <w:rPr>
        <w:rFonts w:ascii="Wingdings" w:hAnsi="Wingdings" w:hint="default"/>
      </w:rPr>
    </w:lvl>
  </w:abstractNum>
  <w:abstractNum w:abstractNumId="29" w15:restartNumberingAfterBreak="0">
    <w:nsid w:val="6F0D226C"/>
    <w:multiLevelType w:val="hybridMultilevel"/>
    <w:tmpl w:val="C14C0286"/>
    <w:lvl w:ilvl="0" w:tplc="FFFFFFFF">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DFECF0"/>
    <w:multiLevelType w:val="hybridMultilevel"/>
    <w:tmpl w:val="DE9A6048"/>
    <w:lvl w:ilvl="0" w:tplc="286E7A90">
      <w:start w:val="1"/>
      <w:numFmt w:val="decimal"/>
      <w:lvlText w:val="%1)"/>
      <w:lvlJc w:val="left"/>
      <w:pPr>
        <w:ind w:left="1440" w:hanging="360"/>
      </w:pPr>
    </w:lvl>
    <w:lvl w:ilvl="1" w:tplc="89201186">
      <w:start w:val="1"/>
      <w:numFmt w:val="lowerLetter"/>
      <w:lvlText w:val="%2."/>
      <w:lvlJc w:val="left"/>
      <w:pPr>
        <w:ind w:left="1440" w:hanging="360"/>
      </w:pPr>
    </w:lvl>
    <w:lvl w:ilvl="2" w:tplc="9AB6E30A">
      <w:start w:val="1"/>
      <w:numFmt w:val="lowerRoman"/>
      <w:lvlText w:val="%3."/>
      <w:lvlJc w:val="right"/>
      <w:pPr>
        <w:ind w:left="2160" w:hanging="180"/>
      </w:pPr>
    </w:lvl>
    <w:lvl w:ilvl="3" w:tplc="A464256A">
      <w:start w:val="1"/>
      <w:numFmt w:val="decimal"/>
      <w:lvlText w:val="%4."/>
      <w:lvlJc w:val="left"/>
      <w:pPr>
        <w:ind w:left="2880" w:hanging="360"/>
      </w:pPr>
    </w:lvl>
    <w:lvl w:ilvl="4" w:tplc="A6EC3292">
      <w:start w:val="1"/>
      <w:numFmt w:val="lowerLetter"/>
      <w:lvlText w:val="%5."/>
      <w:lvlJc w:val="left"/>
      <w:pPr>
        <w:ind w:left="3600" w:hanging="360"/>
      </w:pPr>
    </w:lvl>
    <w:lvl w:ilvl="5" w:tplc="5356A19C">
      <w:start w:val="1"/>
      <w:numFmt w:val="lowerRoman"/>
      <w:lvlText w:val="%6."/>
      <w:lvlJc w:val="right"/>
      <w:pPr>
        <w:ind w:left="4320" w:hanging="180"/>
      </w:pPr>
    </w:lvl>
    <w:lvl w:ilvl="6" w:tplc="49FCCB7C">
      <w:start w:val="1"/>
      <w:numFmt w:val="decimal"/>
      <w:lvlText w:val="%7."/>
      <w:lvlJc w:val="left"/>
      <w:pPr>
        <w:ind w:left="5040" w:hanging="360"/>
      </w:pPr>
    </w:lvl>
    <w:lvl w:ilvl="7" w:tplc="DCD46102">
      <w:start w:val="1"/>
      <w:numFmt w:val="lowerLetter"/>
      <w:lvlText w:val="%8."/>
      <w:lvlJc w:val="left"/>
      <w:pPr>
        <w:ind w:left="5760" w:hanging="360"/>
      </w:pPr>
    </w:lvl>
    <w:lvl w:ilvl="8" w:tplc="229863C8">
      <w:start w:val="1"/>
      <w:numFmt w:val="lowerRoman"/>
      <w:lvlText w:val="%9."/>
      <w:lvlJc w:val="right"/>
      <w:pPr>
        <w:ind w:left="6480" w:hanging="180"/>
      </w:pPr>
    </w:lvl>
  </w:abstractNum>
  <w:abstractNum w:abstractNumId="31" w15:restartNumberingAfterBreak="0">
    <w:nsid w:val="761559B8"/>
    <w:multiLevelType w:val="hybridMultilevel"/>
    <w:tmpl w:val="E78A401A"/>
    <w:lvl w:ilvl="0" w:tplc="E82EE9DA">
      <w:start w:val="1"/>
      <w:numFmt w:val="lowerLetter"/>
      <w:lvlText w:val="%1."/>
      <w:lvlJc w:val="left"/>
      <w:pPr>
        <w:ind w:left="1155" w:hanging="57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2" w15:restartNumberingAfterBreak="0">
    <w:nsid w:val="76FA1D9B"/>
    <w:multiLevelType w:val="hybridMultilevel"/>
    <w:tmpl w:val="D54699A6"/>
    <w:lvl w:ilvl="0" w:tplc="68B8D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AD672D"/>
    <w:multiLevelType w:val="hybridMultilevel"/>
    <w:tmpl w:val="0542F44A"/>
    <w:lvl w:ilvl="0" w:tplc="04090011">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916326">
    <w:abstractNumId w:val="7"/>
  </w:num>
  <w:num w:numId="2" w16cid:durableId="1716277269">
    <w:abstractNumId w:val="18"/>
  </w:num>
  <w:num w:numId="3" w16cid:durableId="1017852920">
    <w:abstractNumId w:val="15"/>
  </w:num>
  <w:num w:numId="4" w16cid:durableId="2026327965">
    <w:abstractNumId w:val="19"/>
  </w:num>
  <w:num w:numId="5" w16cid:durableId="1542667350">
    <w:abstractNumId w:val="14"/>
  </w:num>
  <w:num w:numId="6" w16cid:durableId="505942833">
    <w:abstractNumId w:val="30"/>
  </w:num>
  <w:num w:numId="7" w16cid:durableId="1860971408">
    <w:abstractNumId w:val="2"/>
  </w:num>
  <w:num w:numId="8" w16cid:durableId="1989432451">
    <w:abstractNumId w:val="27"/>
  </w:num>
  <w:num w:numId="9" w16cid:durableId="536892947">
    <w:abstractNumId w:val="6"/>
  </w:num>
  <w:num w:numId="10" w16cid:durableId="1281916217">
    <w:abstractNumId w:val="21"/>
  </w:num>
  <w:num w:numId="11" w16cid:durableId="1538155695">
    <w:abstractNumId w:val="28"/>
  </w:num>
  <w:num w:numId="12" w16cid:durableId="434910004">
    <w:abstractNumId w:val="1"/>
  </w:num>
  <w:num w:numId="13" w16cid:durableId="316541172">
    <w:abstractNumId w:val="8"/>
  </w:num>
  <w:num w:numId="14" w16cid:durableId="715391121">
    <w:abstractNumId w:val="16"/>
  </w:num>
  <w:num w:numId="15" w16cid:durableId="947548193">
    <w:abstractNumId w:val="11"/>
  </w:num>
  <w:num w:numId="16" w16cid:durableId="1526483218">
    <w:abstractNumId w:val="10"/>
  </w:num>
  <w:num w:numId="17" w16cid:durableId="982927797">
    <w:abstractNumId w:val="13"/>
  </w:num>
  <w:num w:numId="18" w16cid:durableId="1862863005">
    <w:abstractNumId w:val="4"/>
  </w:num>
  <w:num w:numId="19" w16cid:durableId="1512525114">
    <w:abstractNumId w:val="31"/>
  </w:num>
  <w:num w:numId="20" w16cid:durableId="408386491">
    <w:abstractNumId w:val="24"/>
  </w:num>
  <w:num w:numId="21" w16cid:durableId="487481865">
    <w:abstractNumId w:val="9"/>
  </w:num>
  <w:num w:numId="22" w16cid:durableId="367680528">
    <w:abstractNumId w:val="26"/>
  </w:num>
  <w:num w:numId="23" w16cid:durableId="1372414025">
    <w:abstractNumId w:val="25"/>
  </w:num>
  <w:num w:numId="24" w16cid:durableId="1886747647">
    <w:abstractNumId w:val="32"/>
  </w:num>
  <w:num w:numId="25" w16cid:durableId="911892321">
    <w:abstractNumId w:val="23"/>
  </w:num>
  <w:num w:numId="26" w16cid:durableId="531193592">
    <w:abstractNumId w:val="22"/>
  </w:num>
  <w:num w:numId="27" w16cid:durableId="207571461">
    <w:abstractNumId w:val="0"/>
  </w:num>
  <w:num w:numId="28" w16cid:durableId="1712655528">
    <w:abstractNumId w:val="20"/>
  </w:num>
  <w:num w:numId="29" w16cid:durableId="1440567587">
    <w:abstractNumId w:val="5"/>
  </w:num>
  <w:num w:numId="30" w16cid:durableId="670065223">
    <w:abstractNumId w:val="17"/>
  </w:num>
  <w:num w:numId="31" w16cid:durableId="1774782383">
    <w:abstractNumId w:val="29"/>
  </w:num>
  <w:num w:numId="32" w16cid:durableId="108594237">
    <w:abstractNumId w:val="3"/>
  </w:num>
  <w:num w:numId="33" w16cid:durableId="1046946679">
    <w:abstractNumId w:val="33"/>
  </w:num>
  <w:num w:numId="34" w16cid:durableId="101576430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7S0MDU2Mzc0NDZX0lEKTi0uzszPAykwqgUA0MA8NSwAAAA="/>
  </w:docVars>
  <w:rsids>
    <w:rsidRoot w:val="004169BC"/>
    <w:rsid w:val="00004A35"/>
    <w:rsid w:val="0000794D"/>
    <w:rsid w:val="00010D73"/>
    <w:rsid w:val="00013597"/>
    <w:rsid w:val="000155F6"/>
    <w:rsid w:val="000160EF"/>
    <w:rsid w:val="00016BC1"/>
    <w:rsid w:val="000175EC"/>
    <w:rsid w:val="000226C0"/>
    <w:rsid w:val="00023761"/>
    <w:rsid w:val="000247CB"/>
    <w:rsid w:val="00024AF5"/>
    <w:rsid w:val="00030DD5"/>
    <w:rsid w:val="000413B9"/>
    <w:rsid w:val="0004249A"/>
    <w:rsid w:val="00065F45"/>
    <w:rsid w:val="000725A7"/>
    <w:rsid w:val="00072D6A"/>
    <w:rsid w:val="00073207"/>
    <w:rsid w:val="0007387A"/>
    <w:rsid w:val="00077256"/>
    <w:rsid w:val="00077CE7"/>
    <w:rsid w:val="00086D06"/>
    <w:rsid w:val="00093C55"/>
    <w:rsid w:val="00095CD2"/>
    <w:rsid w:val="00095E6B"/>
    <w:rsid w:val="0009709E"/>
    <w:rsid w:val="000A0180"/>
    <w:rsid w:val="000B39BD"/>
    <w:rsid w:val="000B4E4E"/>
    <w:rsid w:val="000B6418"/>
    <w:rsid w:val="000B6BC8"/>
    <w:rsid w:val="000C6E9C"/>
    <w:rsid w:val="000D2F8E"/>
    <w:rsid w:val="000E11FF"/>
    <w:rsid w:val="000E311C"/>
    <w:rsid w:val="000E5418"/>
    <w:rsid w:val="000E61E8"/>
    <w:rsid w:val="000F6719"/>
    <w:rsid w:val="000F682B"/>
    <w:rsid w:val="00100E78"/>
    <w:rsid w:val="00100E85"/>
    <w:rsid w:val="00102B4C"/>
    <w:rsid w:val="001045A2"/>
    <w:rsid w:val="0010546A"/>
    <w:rsid w:val="00107201"/>
    <w:rsid w:val="001079ED"/>
    <w:rsid w:val="00107DC9"/>
    <w:rsid w:val="00113A99"/>
    <w:rsid w:val="00113C7E"/>
    <w:rsid w:val="00115D4F"/>
    <w:rsid w:val="00120F5D"/>
    <w:rsid w:val="00123705"/>
    <w:rsid w:val="00123AB5"/>
    <w:rsid w:val="001250DB"/>
    <w:rsid w:val="00133189"/>
    <w:rsid w:val="001332D6"/>
    <w:rsid w:val="0013467D"/>
    <w:rsid w:val="00144C22"/>
    <w:rsid w:val="001510B7"/>
    <w:rsid w:val="00156DAA"/>
    <w:rsid w:val="00162702"/>
    <w:rsid w:val="00165768"/>
    <w:rsid w:val="00166AB8"/>
    <w:rsid w:val="001843CA"/>
    <w:rsid w:val="00184B64"/>
    <w:rsid w:val="00192773"/>
    <w:rsid w:val="00197A2B"/>
    <w:rsid w:val="001A181C"/>
    <w:rsid w:val="001A3C77"/>
    <w:rsid w:val="001A4998"/>
    <w:rsid w:val="001A628D"/>
    <w:rsid w:val="001B07F7"/>
    <w:rsid w:val="001B260B"/>
    <w:rsid w:val="001D0A66"/>
    <w:rsid w:val="001D28CA"/>
    <w:rsid w:val="001D2BAB"/>
    <w:rsid w:val="001D6ABB"/>
    <w:rsid w:val="001E4DF0"/>
    <w:rsid w:val="001F2A09"/>
    <w:rsid w:val="001F48AC"/>
    <w:rsid w:val="001F580F"/>
    <w:rsid w:val="00211D59"/>
    <w:rsid w:val="00212C9A"/>
    <w:rsid w:val="00216E35"/>
    <w:rsid w:val="002178A0"/>
    <w:rsid w:val="00220838"/>
    <w:rsid w:val="00222432"/>
    <w:rsid w:val="0022357F"/>
    <w:rsid w:val="00225806"/>
    <w:rsid w:val="0023388E"/>
    <w:rsid w:val="00237131"/>
    <w:rsid w:val="002373C2"/>
    <w:rsid w:val="002412BF"/>
    <w:rsid w:val="002451CE"/>
    <w:rsid w:val="00245BA5"/>
    <w:rsid w:val="0024640E"/>
    <w:rsid w:val="002519F1"/>
    <w:rsid w:val="00251DF8"/>
    <w:rsid w:val="00261885"/>
    <w:rsid w:val="00262968"/>
    <w:rsid w:val="00265306"/>
    <w:rsid w:val="00272AC0"/>
    <w:rsid w:val="00272EF4"/>
    <w:rsid w:val="00274098"/>
    <w:rsid w:val="00280B44"/>
    <w:rsid w:val="00281B3E"/>
    <w:rsid w:val="00284F09"/>
    <w:rsid w:val="002A4418"/>
    <w:rsid w:val="002B61BB"/>
    <w:rsid w:val="002C40A1"/>
    <w:rsid w:val="002D597E"/>
    <w:rsid w:val="002E13AB"/>
    <w:rsid w:val="002E53EC"/>
    <w:rsid w:val="002F166E"/>
    <w:rsid w:val="002F20C7"/>
    <w:rsid w:val="002F4708"/>
    <w:rsid w:val="002F72C9"/>
    <w:rsid w:val="0030066C"/>
    <w:rsid w:val="00302338"/>
    <w:rsid w:val="0032502C"/>
    <w:rsid w:val="00336B20"/>
    <w:rsid w:val="00342F9F"/>
    <w:rsid w:val="0034321C"/>
    <w:rsid w:val="0034456D"/>
    <w:rsid w:val="003540A1"/>
    <w:rsid w:val="003569CA"/>
    <w:rsid w:val="003579A0"/>
    <w:rsid w:val="003608E1"/>
    <w:rsid w:val="00360982"/>
    <w:rsid w:val="00361C85"/>
    <w:rsid w:val="003724D7"/>
    <w:rsid w:val="00375E6A"/>
    <w:rsid w:val="00377E71"/>
    <w:rsid w:val="0038479D"/>
    <w:rsid w:val="0039291A"/>
    <w:rsid w:val="0039498A"/>
    <w:rsid w:val="003B0772"/>
    <w:rsid w:val="003B328E"/>
    <w:rsid w:val="003C0277"/>
    <w:rsid w:val="003C51EC"/>
    <w:rsid w:val="003C57C8"/>
    <w:rsid w:val="003C59D9"/>
    <w:rsid w:val="003C7797"/>
    <w:rsid w:val="003D0332"/>
    <w:rsid w:val="003D615D"/>
    <w:rsid w:val="003E1E21"/>
    <w:rsid w:val="003E5C09"/>
    <w:rsid w:val="003E7563"/>
    <w:rsid w:val="003F345E"/>
    <w:rsid w:val="003F5EC8"/>
    <w:rsid w:val="004065E0"/>
    <w:rsid w:val="0040667D"/>
    <w:rsid w:val="004169BC"/>
    <w:rsid w:val="004311EF"/>
    <w:rsid w:val="0043264A"/>
    <w:rsid w:val="0043406B"/>
    <w:rsid w:val="00434D91"/>
    <w:rsid w:val="004434F1"/>
    <w:rsid w:val="00447242"/>
    <w:rsid w:val="004510AA"/>
    <w:rsid w:val="004517F9"/>
    <w:rsid w:val="00465FEB"/>
    <w:rsid w:val="00473F3B"/>
    <w:rsid w:val="004755F8"/>
    <w:rsid w:val="00481078"/>
    <w:rsid w:val="00481E0B"/>
    <w:rsid w:val="00483C56"/>
    <w:rsid w:val="00490FDE"/>
    <w:rsid w:val="004A14BD"/>
    <w:rsid w:val="004A1D8F"/>
    <w:rsid w:val="004A490A"/>
    <w:rsid w:val="004B2E6C"/>
    <w:rsid w:val="004C12C8"/>
    <w:rsid w:val="004D0454"/>
    <w:rsid w:val="004D3CB8"/>
    <w:rsid w:val="004D5BE9"/>
    <w:rsid w:val="004D5E79"/>
    <w:rsid w:val="004D7668"/>
    <w:rsid w:val="004E0218"/>
    <w:rsid w:val="004E1C3D"/>
    <w:rsid w:val="004E580A"/>
    <w:rsid w:val="004E6BAE"/>
    <w:rsid w:val="004F1DA2"/>
    <w:rsid w:val="004F25E6"/>
    <w:rsid w:val="004F2ABF"/>
    <w:rsid w:val="004F3A5C"/>
    <w:rsid w:val="00500364"/>
    <w:rsid w:val="00500852"/>
    <w:rsid w:val="005066AC"/>
    <w:rsid w:val="0050680B"/>
    <w:rsid w:val="00507E90"/>
    <w:rsid w:val="00511B17"/>
    <w:rsid w:val="0051596A"/>
    <w:rsid w:val="00516CF7"/>
    <w:rsid w:val="005270F6"/>
    <w:rsid w:val="005274AA"/>
    <w:rsid w:val="00527DE7"/>
    <w:rsid w:val="005310D0"/>
    <w:rsid w:val="00533530"/>
    <w:rsid w:val="005341EE"/>
    <w:rsid w:val="0053729B"/>
    <w:rsid w:val="00542832"/>
    <w:rsid w:val="0055058B"/>
    <w:rsid w:val="0055120B"/>
    <w:rsid w:val="00551F1C"/>
    <w:rsid w:val="00563EE6"/>
    <w:rsid w:val="00565257"/>
    <w:rsid w:val="00566BD6"/>
    <w:rsid w:val="0057028D"/>
    <w:rsid w:val="0058301F"/>
    <w:rsid w:val="00584316"/>
    <w:rsid w:val="00593CA6"/>
    <w:rsid w:val="005A0164"/>
    <w:rsid w:val="005A224C"/>
    <w:rsid w:val="005A7179"/>
    <w:rsid w:val="005A7B23"/>
    <w:rsid w:val="005B5A3D"/>
    <w:rsid w:val="005B730A"/>
    <w:rsid w:val="005C3C7B"/>
    <w:rsid w:val="005D29C1"/>
    <w:rsid w:val="005D33F9"/>
    <w:rsid w:val="005D38B5"/>
    <w:rsid w:val="005D638E"/>
    <w:rsid w:val="005D72DD"/>
    <w:rsid w:val="005D7BE3"/>
    <w:rsid w:val="005E04EE"/>
    <w:rsid w:val="005E1F59"/>
    <w:rsid w:val="005E6F17"/>
    <w:rsid w:val="005F4828"/>
    <w:rsid w:val="005F52B4"/>
    <w:rsid w:val="005F6F8C"/>
    <w:rsid w:val="00602890"/>
    <w:rsid w:val="006070E0"/>
    <w:rsid w:val="00615CF2"/>
    <w:rsid w:val="00620FD3"/>
    <w:rsid w:val="0062277D"/>
    <w:rsid w:val="00623E36"/>
    <w:rsid w:val="0062721F"/>
    <w:rsid w:val="00633208"/>
    <w:rsid w:val="00634999"/>
    <w:rsid w:val="00640815"/>
    <w:rsid w:val="00662F8A"/>
    <w:rsid w:val="006676C1"/>
    <w:rsid w:val="00673A25"/>
    <w:rsid w:val="006775F0"/>
    <w:rsid w:val="00682F64"/>
    <w:rsid w:val="00686281"/>
    <w:rsid w:val="00687C4F"/>
    <w:rsid w:val="006A2D6C"/>
    <w:rsid w:val="006A68D4"/>
    <w:rsid w:val="006B066F"/>
    <w:rsid w:val="006B5153"/>
    <w:rsid w:val="006C1E60"/>
    <w:rsid w:val="006C22CE"/>
    <w:rsid w:val="006D4FA5"/>
    <w:rsid w:val="006D548F"/>
    <w:rsid w:val="006D6472"/>
    <w:rsid w:val="006D6D7E"/>
    <w:rsid w:val="006E0D3C"/>
    <w:rsid w:val="006E32BD"/>
    <w:rsid w:val="006E43C1"/>
    <w:rsid w:val="006E51D6"/>
    <w:rsid w:val="006E5DF5"/>
    <w:rsid w:val="006E7C71"/>
    <w:rsid w:val="006F2D84"/>
    <w:rsid w:val="006F3D70"/>
    <w:rsid w:val="006F4328"/>
    <w:rsid w:val="007000E6"/>
    <w:rsid w:val="00701FA2"/>
    <w:rsid w:val="00704DD3"/>
    <w:rsid w:val="00705791"/>
    <w:rsid w:val="007119F2"/>
    <w:rsid w:val="00721E89"/>
    <w:rsid w:val="007226BD"/>
    <w:rsid w:val="007337B9"/>
    <w:rsid w:val="007449A4"/>
    <w:rsid w:val="007503C3"/>
    <w:rsid w:val="00755677"/>
    <w:rsid w:val="00765D96"/>
    <w:rsid w:val="0078431D"/>
    <w:rsid w:val="00791424"/>
    <w:rsid w:val="00791AF6"/>
    <w:rsid w:val="007924C7"/>
    <w:rsid w:val="00793C95"/>
    <w:rsid w:val="007A332A"/>
    <w:rsid w:val="007B3682"/>
    <w:rsid w:val="007B7CFA"/>
    <w:rsid w:val="007C061C"/>
    <w:rsid w:val="007C1BEB"/>
    <w:rsid w:val="007C491B"/>
    <w:rsid w:val="007C7F01"/>
    <w:rsid w:val="007D377A"/>
    <w:rsid w:val="007D726A"/>
    <w:rsid w:val="007E577A"/>
    <w:rsid w:val="007E6021"/>
    <w:rsid w:val="007F1CFF"/>
    <w:rsid w:val="007F3E78"/>
    <w:rsid w:val="007F755B"/>
    <w:rsid w:val="00801D1C"/>
    <w:rsid w:val="00810025"/>
    <w:rsid w:val="008105C0"/>
    <w:rsid w:val="008245A6"/>
    <w:rsid w:val="00825232"/>
    <w:rsid w:val="00826922"/>
    <w:rsid w:val="00831E6A"/>
    <w:rsid w:val="00834DBF"/>
    <w:rsid w:val="00836F66"/>
    <w:rsid w:val="00841449"/>
    <w:rsid w:val="0084184E"/>
    <w:rsid w:val="008419B0"/>
    <w:rsid w:val="00843553"/>
    <w:rsid w:val="00851000"/>
    <w:rsid w:val="00860EBE"/>
    <w:rsid w:val="00861AFA"/>
    <w:rsid w:val="0087254E"/>
    <w:rsid w:val="00874D57"/>
    <w:rsid w:val="0087594F"/>
    <w:rsid w:val="00876C74"/>
    <w:rsid w:val="00885580"/>
    <w:rsid w:val="00886AA1"/>
    <w:rsid w:val="00890E48"/>
    <w:rsid w:val="00895D87"/>
    <w:rsid w:val="00896B0B"/>
    <w:rsid w:val="008A0B42"/>
    <w:rsid w:val="008A3DC3"/>
    <w:rsid w:val="008C1718"/>
    <w:rsid w:val="008D1275"/>
    <w:rsid w:val="008D1E45"/>
    <w:rsid w:val="008D2E3D"/>
    <w:rsid w:val="008D3033"/>
    <w:rsid w:val="008D533A"/>
    <w:rsid w:val="008F4144"/>
    <w:rsid w:val="00902EFA"/>
    <w:rsid w:val="00910E5E"/>
    <w:rsid w:val="00917110"/>
    <w:rsid w:val="00917C7B"/>
    <w:rsid w:val="0094427D"/>
    <w:rsid w:val="00944FC6"/>
    <w:rsid w:val="0095319D"/>
    <w:rsid w:val="00955886"/>
    <w:rsid w:val="00962A02"/>
    <w:rsid w:val="009652BA"/>
    <w:rsid w:val="00971ED0"/>
    <w:rsid w:val="00973BC5"/>
    <w:rsid w:val="00974128"/>
    <w:rsid w:val="009753FD"/>
    <w:rsid w:val="0098220C"/>
    <w:rsid w:val="009843AD"/>
    <w:rsid w:val="00987C21"/>
    <w:rsid w:val="00991E1B"/>
    <w:rsid w:val="009942CC"/>
    <w:rsid w:val="00995FDB"/>
    <w:rsid w:val="009974AE"/>
    <w:rsid w:val="009B2427"/>
    <w:rsid w:val="009B46B5"/>
    <w:rsid w:val="009B5866"/>
    <w:rsid w:val="009B75F0"/>
    <w:rsid w:val="009D12A7"/>
    <w:rsid w:val="009D4134"/>
    <w:rsid w:val="009E50C2"/>
    <w:rsid w:val="009F129A"/>
    <w:rsid w:val="00A1132D"/>
    <w:rsid w:val="00A149BA"/>
    <w:rsid w:val="00A16A71"/>
    <w:rsid w:val="00A170EA"/>
    <w:rsid w:val="00A21A96"/>
    <w:rsid w:val="00A21DAF"/>
    <w:rsid w:val="00A25744"/>
    <w:rsid w:val="00A26B5D"/>
    <w:rsid w:val="00A365B0"/>
    <w:rsid w:val="00A379E8"/>
    <w:rsid w:val="00A40038"/>
    <w:rsid w:val="00A40914"/>
    <w:rsid w:val="00A43212"/>
    <w:rsid w:val="00A46ACD"/>
    <w:rsid w:val="00A513FF"/>
    <w:rsid w:val="00A51F06"/>
    <w:rsid w:val="00A74726"/>
    <w:rsid w:val="00A7474B"/>
    <w:rsid w:val="00A802D5"/>
    <w:rsid w:val="00A81C65"/>
    <w:rsid w:val="00A924DB"/>
    <w:rsid w:val="00A954D5"/>
    <w:rsid w:val="00AA3BE0"/>
    <w:rsid w:val="00AA462F"/>
    <w:rsid w:val="00AA615D"/>
    <w:rsid w:val="00AB24D2"/>
    <w:rsid w:val="00AC17D3"/>
    <w:rsid w:val="00AC1F00"/>
    <w:rsid w:val="00AC5242"/>
    <w:rsid w:val="00AC7327"/>
    <w:rsid w:val="00AC73F5"/>
    <w:rsid w:val="00AD3C8F"/>
    <w:rsid w:val="00AF6587"/>
    <w:rsid w:val="00AF685F"/>
    <w:rsid w:val="00B01949"/>
    <w:rsid w:val="00B03FF0"/>
    <w:rsid w:val="00B0559F"/>
    <w:rsid w:val="00B23207"/>
    <w:rsid w:val="00B3728D"/>
    <w:rsid w:val="00B42C98"/>
    <w:rsid w:val="00B535FB"/>
    <w:rsid w:val="00B57E72"/>
    <w:rsid w:val="00B620B9"/>
    <w:rsid w:val="00B6295A"/>
    <w:rsid w:val="00B673D7"/>
    <w:rsid w:val="00B75686"/>
    <w:rsid w:val="00B81254"/>
    <w:rsid w:val="00B82D3F"/>
    <w:rsid w:val="00B86277"/>
    <w:rsid w:val="00B87180"/>
    <w:rsid w:val="00B9115D"/>
    <w:rsid w:val="00B93E6A"/>
    <w:rsid w:val="00B96709"/>
    <w:rsid w:val="00BA1941"/>
    <w:rsid w:val="00BA5265"/>
    <w:rsid w:val="00BB6EDE"/>
    <w:rsid w:val="00BC2842"/>
    <w:rsid w:val="00BC5190"/>
    <w:rsid w:val="00BD03AC"/>
    <w:rsid w:val="00BD2C9C"/>
    <w:rsid w:val="00BD706A"/>
    <w:rsid w:val="00BE66CE"/>
    <w:rsid w:val="00BF0143"/>
    <w:rsid w:val="00C02BC5"/>
    <w:rsid w:val="00C0587A"/>
    <w:rsid w:val="00C12990"/>
    <w:rsid w:val="00C20398"/>
    <w:rsid w:val="00C24803"/>
    <w:rsid w:val="00C24D4C"/>
    <w:rsid w:val="00C310CF"/>
    <w:rsid w:val="00C31F23"/>
    <w:rsid w:val="00C32C16"/>
    <w:rsid w:val="00C40437"/>
    <w:rsid w:val="00C40885"/>
    <w:rsid w:val="00C40F3C"/>
    <w:rsid w:val="00C40F6A"/>
    <w:rsid w:val="00C46658"/>
    <w:rsid w:val="00C5010D"/>
    <w:rsid w:val="00C501E9"/>
    <w:rsid w:val="00C5503A"/>
    <w:rsid w:val="00C55CCC"/>
    <w:rsid w:val="00C6223F"/>
    <w:rsid w:val="00C6310B"/>
    <w:rsid w:val="00C64D28"/>
    <w:rsid w:val="00C66899"/>
    <w:rsid w:val="00C67752"/>
    <w:rsid w:val="00C70820"/>
    <w:rsid w:val="00C71679"/>
    <w:rsid w:val="00C8554B"/>
    <w:rsid w:val="00CA107C"/>
    <w:rsid w:val="00CA2231"/>
    <w:rsid w:val="00CA74B3"/>
    <w:rsid w:val="00CB6776"/>
    <w:rsid w:val="00CC03F3"/>
    <w:rsid w:val="00CC0E5B"/>
    <w:rsid w:val="00CC2E15"/>
    <w:rsid w:val="00CD6138"/>
    <w:rsid w:val="00CE6F28"/>
    <w:rsid w:val="00CF132E"/>
    <w:rsid w:val="00CF4486"/>
    <w:rsid w:val="00CF4F89"/>
    <w:rsid w:val="00D00A47"/>
    <w:rsid w:val="00D02591"/>
    <w:rsid w:val="00D03DA4"/>
    <w:rsid w:val="00D2183A"/>
    <w:rsid w:val="00D219FE"/>
    <w:rsid w:val="00D21EFD"/>
    <w:rsid w:val="00D244B5"/>
    <w:rsid w:val="00D2545C"/>
    <w:rsid w:val="00D271F6"/>
    <w:rsid w:val="00D3377F"/>
    <w:rsid w:val="00D33EE5"/>
    <w:rsid w:val="00D36C55"/>
    <w:rsid w:val="00D44FF2"/>
    <w:rsid w:val="00D47982"/>
    <w:rsid w:val="00D51141"/>
    <w:rsid w:val="00D54768"/>
    <w:rsid w:val="00D60E1E"/>
    <w:rsid w:val="00D61A69"/>
    <w:rsid w:val="00D63BB4"/>
    <w:rsid w:val="00D665E4"/>
    <w:rsid w:val="00D67CF5"/>
    <w:rsid w:val="00D71F61"/>
    <w:rsid w:val="00D73622"/>
    <w:rsid w:val="00D7516C"/>
    <w:rsid w:val="00D76628"/>
    <w:rsid w:val="00D945D8"/>
    <w:rsid w:val="00DA6FFA"/>
    <w:rsid w:val="00DB5013"/>
    <w:rsid w:val="00DB5084"/>
    <w:rsid w:val="00DC59E4"/>
    <w:rsid w:val="00DD22E9"/>
    <w:rsid w:val="00DD6C7F"/>
    <w:rsid w:val="00DD6DA3"/>
    <w:rsid w:val="00DD7FF4"/>
    <w:rsid w:val="00DE2DF3"/>
    <w:rsid w:val="00DE6AAD"/>
    <w:rsid w:val="00DF3200"/>
    <w:rsid w:val="00DF6B01"/>
    <w:rsid w:val="00DF6D19"/>
    <w:rsid w:val="00E1704C"/>
    <w:rsid w:val="00E17077"/>
    <w:rsid w:val="00E17E9D"/>
    <w:rsid w:val="00E20926"/>
    <w:rsid w:val="00E2180A"/>
    <w:rsid w:val="00E248F4"/>
    <w:rsid w:val="00E25F58"/>
    <w:rsid w:val="00E45E30"/>
    <w:rsid w:val="00E46A0D"/>
    <w:rsid w:val="00E609E6"/>
    <w:rsid w:val="00E63654"/>
    <w:rsid w:val="00E649F5"/>
    <w:rsid w:val="00E67AA0"/>
    <w:rsid w:val="00E711D8"/>
    <w:rsid w:val="00E7463F"/>
    <w:rsid w:val="00E802CC"/>
    <w:rsid w:val="00E85FF6"/>
    <w:rsid w:val="00E862E9"/>
    <w:rsid w:val="00E87372"/>
    <w:rsid w:val="00EA3B14"/>
    <w:rsid w:val="00EB5441"/>
    <w:rsid w:val="00EC2736"/>
    <w:rsid w:val="00EC3649"/>
    <w:rsid w:val="00EC40A7"/>
    <w:rsid w:val="00EC7264"/>
    <w:rsid w:val="00ED0A1A"/>
    <w:rsid w:val="00ED5A93"/>
    <w:rsid w:val="00EF146F"/>
    <w:rsid w:val="00EF3C66"/>
    <w:rsid w:val="00EF69BD"/>
    <w:rsid w:val="00EF7BC7"/>
    <w:rsid w:val="00F034C7"/>
    <w:rsid w:val="00F14B6E"/>
    <w:rsid w:val="00F21CC0"/>
    <w:rsid w:val="00F222D3"/>
    <w:rsid w:val="00F257AD"/>
    <w:rsid w:val="00F3566D"/>
    <w:rsid w:val="00F475A1"/>
    <w:rsid w:val="00F53DB0"/>
    <w:rsid w:val="00F54F70"/>
    <w:rsid w:val="00F56AD6"/>
    <w:rsid w:val="00F56E62"/>
    <w:rsid w:val="00F60165"/>
    <w:rsid w:val="00F70EEE"/>
    <w:rsid w:val="00F73D3E"/>
    <w:rsid w:val="00F73F45"/>
    <w:rsid w:val="00F75BF4"/>
    <w:rsid w:val="00F760BC"/>
    <w:rsid w:val="00F8098D"/>
    <w:rsid w:val="00F913BB"/>
    <w:rsid w:val="00F924FB"/>
    <w:rsid w:val="00F9374C"/>
    <w:rsid w:val="00FA28F2"/>
    <w:rsid w:val="00FA6C3C"/>
    <w:rsid w:val="00FA76E0"/>
    <w:rsid w:val="00FB47B1"/>
    <w:rsid w:val="00FC4C96"/>
    <w:rsid w:val="00FD45E1"/>
    <w:rsid w:val="00FD56DD"/>
    <w:rsid w:val="00FD644D"/>
    <w:rsid w:val="00FD7414"/>
    <w:rsid w:val="00FD766B"/>
    <w:rsid w:val="00FD7731"/>
    <w:rsid w:val="00FF3118"/>
    <w:rsid w:val="00FF31CD"/>
    <w:rsid w:val="00FF5EBE"/>
    <w:rsid w:val="0134CB32"/>
    <w:rsid w:val="0708A896"/>
    <w:rsid w:val="073709D5"/>
    <w:rsid w:val="07ED114A"/>
    <w:rsid w:val="0982E769"/>
    <w:rsid w:val="09A9FA24"/>
    <w:rsid w:val="0A659FEB"/>
    <w:rsid w:val="0B055498"/>
    <w:rsid w:val="0D5444A1"/>
    <w:rsid w:val="10E93E25"/>
    <w:rsid w:val="1527DAAD"/>
    <w:rsid w:val="1868A085"/>
    <w:rsid w:val="1954C642"/>
    <w:rsid w:val="1A0E6FBA"/>
    <w:rsid w:val="1C7CBD18"/>
    <w:rsid w:val="1DF0B8F5"/>
    <w:rsid w:val="1FCF741B"/>
    <w:rsid w:val="22F3483E"/>
    <w:rsid w:val="23662F22"/>
    <w:rsid w:val="24D57457"/>
    <w:rsid w:val="25DB4863"/>
    <w:rsid w:val="26F69DB8"/>
    <w:rsid w:val="2773B809"/>
    <w:rsid w:val="2899A467"/>
    <w:rsid w:val="2952A8E2"/>
    <w:rsid w:val="2A184E06"/>
    <w:rsid w:val="2D23A5E5"/>
    <w:rsid w:val="2FA22F00"/>
    <w:rsid w:val="3206C975"/>
    <w:rsid w:val="32223948"/>
    <w:rsid w:val="33615B62"/>
    <w:rsid w:val="3942F0C4"/>
    <w:rsid w:val="3AF7C681"/>
    <w:rsid w:val="3C9A07B9"/>
    <w:rsid w:val="401A6AA2"/>
    <w:rsid w:val="4053FB76"/>
    <w:rsid w:val="44999EE6"/>
    <w:rsid w:val="452C8BA1"/>
    <w:rsid w:val="465D22CA"/>
    <w:rsid w:val="480C3121"/>
    <w:rsid w:val="481767F4"/>
    <w:rsid w:val="4908655F"/>
    <w:rsid w:val="4B49732F"/>
    <w:rsid w:val="4C83B9BF"/>
    <w:rsid w:val="4D1FBFB0"/>
    <w:rsid w:val="4F70704A"/>
    <w:rsid w:val="529D1DF3"/>
    <w:rsid w:val="54913B0D"/>
    <w:rsid w:val="596F4557"/>
    <w:rsid w:val="5B6BACC3"/>
    <w:rsid w:val="5C636AFD"/>
    <w:rsid w:val="5DCAAB57"/>
    <w:rsid w:val="5EA08454"/>
    <w:rsid w:val="615702EF"/>
    <w:rsid w:val="62F05633"/>
    <w:rsid w:val="673E0538"/>
    <w:rsid w:val="68A134EB"/>
    <w:rsid w:val="6BFB8CE7"/>
    <w:rsid w:val="6C0D283B"/>
    <w:rsid w:val="6E15EFEA"/>
    <w:rsid w:val="6F21A830"/>
    <w:rsid w:val="71958A6D"/>
    <w:rsid w:val="744E781A"/>
    <w:rsid w:val="777A8659"/>
    <w:rsid w:val="79812371"/>
    <w:rsid w:val="7CA06D2D"/>
    <w:rsid w:val="7CE73684"/>
    <w:rsid w:val="7ECC360F"/>
    <w:rsid w:val="7EFADFC3"/>
    <w:rsid w:val="7FA08895"/>
    <w:rsid w:val="7FC676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BB902"/>
  <w15:docId w15:val="{34452053-BF48-49F8-BA2A-65D0EFE1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BC"/>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8431D"/>
    <w:pPr>
      <w:keepNext/>
      <w:outlineLvl w:val="2"/>
    </w:pPr>
    <w:rPr>
      <w:rFonts w:ascii="Arial" w:hAnsi="Arial" w:cs="Arial"/>
      <w:b/>
      <w:bCs/>
      <w:u w:val="single"/>
    </w:rPr>
  </w:style>
  <w:style w:type="paragraph" w:styleId="Heading4">
    <w:name w:val="heading 4"/>
    <w:basedOn w:val="Normal"/>
    <w:next w:val="Normal"/>
    <w:link w:val="Heading4Char"/>
    <w:qFormat/>
    <w:rsid w:val="0078431D"/>
    <w:pPr>
      <w:keepNext/>
      <w:outlineLvl w:val="3"/>
    </w:pPr>
    <w:rPr>
      <w:b/>
      <w:bCs/>
    </w:rPr>
  </w:style>
  <w:style w:type="paragraph" w:styleId="Heading6">
    <w:name w:val="heading 6"/>
    <w:basedOn w:val="Normal"/>
    <w:next w:val="Normal"/>
    <w:link w:val="Heading6Char"/>
    <w:qFormat/>
    <w:rsid w:val="0078431D"/>
    <w:pPr>
      <w:keepNext/>
      <w:outlineLvl w:val="5"/>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169BC"/>
    <w:pPr>
      <w:tabs>
        <w:tab w:val="center" w:pos="4320"/>
        <w:tab w:val="right" w:pos="8640"/>
      </w:tabs>
    </w:pPr>
  </w:style>
  <w:style w:type="character" w:customStyle="1" w:styleId="HeaderChar">
    <w:name w:val="Header Char"/>
    <w:basedOn w:val="DefaultParagraphFont"/>
    <w:link w:val="Header"/>
    <w:rsid w:val="004169BC"/>
    <w:rPr>
      <w:rFonts w:ascii="Times New Roman" w:eastAsia="Times New Roman" w:hAnsi="Times New Roman" w:cs="Times New Roman"/>
      <w:sz w:val="24"/>
      <w:szCs w:val="24"/>
    </w:rPr>
  </w:style>
  <w:style w:type="paragraph" w:styleId="Footer">
    <w:name w:val="footer"/>
    <w:basedOn w:val="Normal"/>
    <w:link w:val="FooterChar"/>
    <w:uiPriority w:val="99"/>
    <w:rsid w:val="004169BC"/>
    <w:pPr>
      <w:tabs>
        <w:tab w:val="center" w:pos="4320"/>
        <w:tab w:val="right" w:pos="8640"/>
      </w:tabs>
    </w:pPr>
  </w:style>
  <w:style w:type="character" w:customStyle="1" w:styleId="FooterChar">
    <w:name w:val="Footer Char"/>
    <w:basedOn w:val="DefaultParagraphFont"/>
    <w:link w:val="Footer"/>
    <w:uiPriority w:val="99"/>
    <w:rsid w:val="004169BC"/>
    <w:rPr>
      <w:rFonts w:ascii="Times New Roman" w:eastAsia="Times New Roman" w:hAnsi="Times New Roman" w:cs="Times New Roman"/>
      <w:sz w:val="24"/>
      <w:szCs w:val="24"/>
    </w:rPr>
  </w:style>
  <w:style w:type="character" w:styleId="PageNumber">
    <w:name w:val="page number"/>
    <w:basedOn w:val="DefaultParagraphFont"/>
    <w:rsid w:val="004169BC"/>
  </w:style>
  <w:style w:type="paragraph" w:styleId="ListParagraph">
    <w:name w:val="List Paragraph"/>
    <w:basedOn w:val="Normal"/>
    <w:uiPriority w:val="34"/>
    <w:qFormat/>
    <w:rsid w:val="004169BC"/>
    <w:pPr>
      <w:ind w:left="720"/>
    </w:pPr>
  </w:style>
  <w:style w:type="paragraph" w:styleId="BalloonText">
    <w:name w:val="Balloon Text"/>
    <w:basedOn w:val="Normal"/>
    <w:link w:val="BalloonTextChar"/>
    <w:uiPriority w:val="99"/>
    <w:semiHidden/>
    <w:unhideWhenUsed/>
    <w:rsid w:val="001D6ABB"/>
    <w:rPr>
      <w:rFonts w:ascii="Tahoma" w:hAnsi="Tahoma" w:cs="Tahoma"/>
      <w:sz w:val="16"/>
      <w:szCs w:val="16"/>
    </w:rPr>
  </w:style>
  <w:style w:type="character" w:customStyle="1" w:styleId="BalloonTextChar">
    <w:name w:val="Balloon Text Char"/>
    <w:basedOn w:val="DefaultParagraphFont"/>
    <w:link w:val="BalloonText"/>
    <w:uiPriority w:val="99"/>
    <w:semiHidden/>
    <w:rsid w:val="001D6ABB"/>
    <w:rPr>
      <w:rFonts w:ascii="Tahoma" w:eastAsia="Times New Roman" w:hAnsi="Tahoma" w:cs="Tahoma"/>
      <w:sz w:val="16"/>
      <w:szCs w:val="16"/>
    </w:rPr>
  </w:style>
  <w:style w:type="paragraph" w:styleId="NoSpacing">
    <w:name w:val="No Spacing"/>
    <w:uiPriority w:val="1"/>
    <w:qFormat/>
    <w:rsid w:val="0078431D"/>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78431D"/>
    <w:rPr>
      <w:rFonts w:ascii="Arial" w:eastAsia="Times New Roman" w:hAnsi="Arial" w:cs="Arial"/>
      <w:b/>
      <w:bCs/>
      <w:sz w:val="24"/>
      <w:szCs w:val="24"/>
      <w:u w:val="single"/>
    </w:rPr>
  </w:style>
  <w:style w:type="character" w:customStyle="1" w:styleId="Heading4Char">
    <w:name w:val="Heading 4 Char"/>
    <w:basedOn w:val="DefaultParagraphFont"/>
    <w:link w:val="Heading4"/>
    <w:rsid w:val="0078431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78431D"/>
    <w:rPr>
      <w:rFonts w:ascii="Arial" w:eastAsia="Times New Roman" w:hAnsi="Arial" w:cs="Arial"/>
      <w:b/>
      <w:bCs/>
      <w:sz w:val="20"/>
      <w:szCs w:val="24"/>
    </w:rPr>
  </w:style>
  <w:style w:type="character" w:styleId="Hyperlink">
    <w:name w:val="Hyperlink"/>
    <w:basedOn w:val="DefaultParagraphFont"/>
    <w:rsid w:val="0078431D"/>
    <w:rPr>
      <w:color w:val="0000FF"/>
      <w:u w:val="single"/>
    </w:rPr>
  </w:style>
  <w:style w:type="paragraph" w:styleId="HTMLPreformatted">
    <w:name w:val="HTML Preformatted"/>
    <w:basedOn w:val="Normal"/>
    <w:link w:val="HTMLPreformattedChar"/>
    <w:rsid w:val="00784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78431D"/>
    <w:rPr>
      <w:rFonts w:ascii="Arial Unicode MS" w:eastAsia="Arial Unicode MS" w:hAnsi="Arial Unicode MS" w:cs="Arial Unicode MS"/>
      <w:sz w:val="20"/>
      <w:szCs w:val="20"/>
    </w:rPr>
  </w:style>
  <w:style w:type="paragraph" w:styleId="BodyText">
    <w:name w:val="Body Text"/>
    <w:basedOn w:val="Normal"/>
    <w:link w:val="BodyTextChar"/>
    <w:rsid w:val="0078431D"/>
    <w:rPr>
      <w:b/>
      <w:bCs/>
    </w:rPr>
  </w:style>
  <w:style w:type="character" w:customStyle="1" w:styleId="BodyTextChar">
    <w:name w:val="Body Text Char"/>
    <w:basedOn w:val="DefaultParagraphFont"/>
    <w:link w:val="BodyText"/>
    <w:rsid w:val="0078431D"/>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78431D"/>
    <w:pPr>
      <w:ind w:firstLine="720"/>
    </w:pPr>
    <w:rPr>
      <w:rFonts w:ascii="Arial" w:hAnsi="Arial" w:cs="Arial"/>
      <w:sz w:val="20"/>
    </w:rPr>
  </w:style>
  <w:style w:type="character" w:customStyle="1" w:styleId="BodyTextIndent2Char">
    <w:name w:val="Body Text Indent 2 Char"/>
    <w:basedOn w:val="DefaultParagraphFont"/>
    <w:link w:val="BodyTextIndent2"/>
    <w:rsid w:val="0078431D"/>
    <w:rPr>
      <w:rFonts w:ascii="Arial" w:eastAsia="Times New Roman" w:hAnsi="Arial" w:cs="Arial"/>
      <w:sz w:val="20"/>
      <w:szCs w:val="24"/>
    </w:rPr>
  </w:style>
  <w:style w:type="paragraph" w:styleId="BodyTextIndent3">
    <w:name w:val="Body Text Indent 3"/>
    <w:basedOn w:val="Normal"/>
    <w:link w:val="BodyTextIndent3Char"/>
    <w:rsid w:val="0078431D"/>
    <w:pPr>
      <w:ind w:left="720" w:firstLine="720"/>
    </w:pPr>
    <w:rPr>
      <w:rFonts w:ascii="Arial" w:hAnsi="Arial" w:cs="Arial"/>
      <w:sz w:val="20"/>
    </w:rPr>
  </w:style>
  <w:style w:type="character" w:customStyle="1" w:styleId="BodyTextIndent3Char">
    <w:name w:val="Body Text Indent 3 Char"/>
    <w:basedOn w:val="DefaultParagraphFont"/>
    <w:link w:val="BodyTextIndent3"/>
    <w:rsid w:val="0078431D"/>
    <w:rPr>
      <w:rFonts w:ascii="Arial" w:eastAsia="Times New Roman" w:hAnsi="Arial" w:cs="Arial"/>
      <w:sz w:val="20"/>
      <w:szCs w:val="24"/>
    </w:rPr>
  </w:style>
  <w:style w:type="paragraph" w:styleId="Title">
    <w:name w:val="Title"/>
    <w:basedOn w:val="Normal"/>
    <w:link w:val="TitleChar"/>
    <w:qFormat/>
    <w:rsid w:val="0078431D"/>
    <w:pPr>
      <w:jc w:val="center"/>
    </w:pPr>
    <w:rPr>
      <w:rFonts w:ascii="Arial" w:hAnsi="Arial" w:cs="Arial"/>
      <w:b/>
      <w:bCs/>
      <w:u w:val="single"/>
    </w:rPr>
  </w:style>
  <w:style w:type="character" w:customStyle="1" w:styleId="TitleChar">
    <w:name w:val="Title Char"/>
    <w:basedOn w:val="DefaultParagraphFont"/>
    <w:link w:val="Title"/>
    <w:rsid w:val="0078431D"/>
    <w:rPr>
      <w:rFonts w:ascii="Arial" w:eastAsia="Times New Roman" w:hAnsi="Arial" w:cs="Arial"/>
      <w:b/>
      <w:bCs/>
      <w:sz w:val="24"/>
      <w:szCs w:val="24"/>
      <w:u w:val="single"/>
    </w:rPr>
  </w:style>
  <w:style w:type="paragraph" w:styleId="BodyText2">
    <w:name w:val="Body Text 2"/>
    <w:basedOn w:val="Normal"/>
    <w:link w:val="BodyText2Char"/>
    <w:uiPriority w:val="99"/>
    <w:semiHidden/>
    <w:unhideWhenUsed/>
    <w:rsid w:val="0058301F"/>
    <w:pPr>
      <w:spacing w:after="120" w:line="480" w:lineRule="auto"/>
    </w:pPr>
  </w:style>
  <w:style w:type="character" w:customStyle="1" w:styleId="BodyText2Char">
    <w:name w:val="Body Text 2 Char"/>
    <w:basedOn w:val="DefaultParagraphFont"/>
    <w:link w:val="BodyText2"/>
    <w:uiPriority w:val="99"/>
    <w:semiHidden/>
    <w:rsid w:val="0058301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E6AAD"/>
    <w:rPr>
      <w:sz w:val="16"/>
      <w:szCs w:val="16"/>
    </w:rPr>
  </w:style>
  <w:style w:type="paragraph" w:styleId="CommentText">
    <w:name w:val="annotation text"/>
    <w:basedOn w:val="Normal"/>
    <w:link w:val="CommentTextChar"/>
    <w:uiPriority w:val="99"/>
    <w:unhideWhenUsed/>
    <w:rsid w:val="00DE6AAD"/>
    <w:rPr>
      <w:sz w:val="20"/>
      <w:szCs w:val="20"/>
    </w:rPr>
  </w:style>
  <w:style w:type="character" w:customStyle="1" w:styleId="CommentTextChar">
    <w:name w:val="Comment Text Char"/>
    <w:basedOn w:val="DefaultParagraphFont"/>
    <w:link w:val="CommentText"/>
    <w:uiPriority w:val="99"/>
    <w:rsid w:val="00DE6A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6AAD"/>
    <w:rPr>
      <w:b/>
      <w:bCs/>
    </w:rPr>
  </w:style>
  <w:style w:type="character" w:customStyle="1" w:styleId="CommentSubjectChar">
    <w:name w:val="Comment Subject Char"/>
    <w:basedOn w:val="CommentTextChar"/>
    <w:link w:val="CommentSubject"/>
    <w:uiPriority w:val="99"/>
    <w:semiHidden/>
    <w:rsid w:val="00DE6AAD"/>
    <w:rPr>
      <w:rFonts w:ascii="Times New Roman" w:eastAsia="Times New Roman" w:hAnsi="Times New Roman" w:cs="Times New Roman"/>
      <w:b/>
      <w:bCs/>
      <w:sz w:val="20"/>
      <w:szCs w:val="20"/>
    </w:rPr>
  </w:style>
  <w:style w:type="paragraph" w:styleId="Revision">
    <w:name w:val="Revision"/>
    <w:hidden/>
    <w:uiPriority w:val="99"/>
    <w:semiHidden/>
    <w:rsid w:val="006F2D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50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navyhr.navy.mil/Career-Management/Detailing/Officer/Pers-43-Aviation/OCM/AvB-The-Bonu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ipandavb@us.navy.m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linda.s.weeden.civ@us.navy.mil" TargetMode="External"/><Relationship Id="rId5" Type="http://schemas.openxmlformats.org/officeDocument/2006/relationships/numbering" Target="numbering.xml"/><Relationship Id="rId15" Type="http://schemas.openxmlformats.org/officeDocument/2006/relationships/hyperlink" Target="mailto:avipandavb@us.navy.mi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linda.s.weeden.civ@us.nav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2A10DDEAC2D40B8B596C5C3D8B2F3" ma:contentTypeVersion="14" ma:contentTypeDescription="Create a new document." ma:contentTypeScope="" ma:versionID="ca8d7352e8f1fe88fe4489f7bec97ec0">
  <xsd:schema xmlns:xsd="http://www.w3.org/2001/XMLSchema" xmlns:xs="http://www.w3.org/2001/XMLSchema" xmlns:p="http://schemas.microsoft.com/office/2006/metadata/properties" xmlns:ns1="http://schemas.microsoft.com/sharepoint/v3" xmlns:ns2="3965ab5c-29fb-4bfb-9310-d51b8e2a59b8" xmlns:ns3="18a514ae-eafd-4a92-8d97-04544d5f9a37" targetNamespace="http://schemas.microsoft.com/office/2006/metadata/properties" ma:root="true" ma:fieldsID="89b541eb60a91a4a5b166ca3d79733f3" ns1:_="" ns2:_="" ns3:_="">
    <xsd:import namespace="http://schemas.microsoft.com/sharepoint/v3"/>
    <xsd:import namespace="3965ab5c-29fb-4bfb-9310-d51b8e2a59b8"/>
    <xsd:import namespace="18a514ae-eafd-4a92-8d97-04544d5f9a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65ab5c-29fb-4bfb-9310-d51b8e2a5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514ae-eafd-4a92-8d97-04544d5f9a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01a74f-7115-4a3e-b0c7-5c59f8989b1b}" ma:internalName="TaxCatchAll" ma:showField="CatchAllData" ma:web="18a514ae-eafd-4a92-8d97-04544d5f9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8a514ae-eafd-4a92-8d97-04544d5f9a37" xsi:nil="true"/>
    <lcf76f155ced4ddcb4097134ff3c332f xmlns="3965ab5c-29fb-4bfb-9310-d51b8e2a59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1D96C-9834-4DF3-80D9-424E53593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65ab5c-29fb-4bfb-9310-d51b8e2a59b8"/>
    <ds:schemaRef ds:uri="18a514ae-eafd-4a92-8d97-04544d5f9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4DE93-0058-40A4-8311-29C292122621}">
  <ds:schemaRefs>
    <ds:schemaRef ds:uri="http://schemas.microsoft.com/office/2006/metadata/properties"/>
    <ds:schemaRef ds:uri="http://schemas.microsoft.com/office/infopath/2007/PartnerControls"/>
    <ds:schemaRef ds:uri="http://schemas.microsoft.com/sharepoint/v3"/>
    <ds:schemaRef ds:uri="18a514ae-eafd-4a92-8d97-04544d5f9a37"/>
    <ds:schemaRef ds:uri="3965ab5c-29fb-4bfb-9310-d51b8e2a59b8"/>
  </ds:schemaRefs>
</ds:datastoreItem>
</file>

<file path=customXml/itemProps3.xml><?xml version="1.0" encoding="utf-8"?>
<ds:datastoreItem xmlns:ds="http://schemas.openxmlformats.org/officeDocument/2006/customXml" ds:itemID="{93C53D05-0156-4013-9FAC-5FB7644B5DF0}">
  <ds:schemaRefs>
    <ds:schemaRef ds:uri="http://schemas.microsoft.com/sharepoint/v3/contenttype/forms"/>
  </ds:schemaRefs>
</ds:datastoreItem>
</file>

<file path=customXml/itemProps4.xml><?xml version="1.0" encoding="utf-8"?>
<ds:datastoreItem xmlns:ds="http://schemas.openxmlformats.org/officeDocument/2006/customXml" ds:itemID="{EB237B27-03AB-4FA5-86FA-807AE0B96BE1}">
  <ds:schemaRefs>
    <ds:schemaRef ds:uri="http://schemas.openxmlformats.org/officeDocument/2006/bibliography"/>
  </ds:schemaRefs>
</ds:datastoreItem>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1792</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FY26 ACRB Program Information</dc:title>
  <dc:creator>Wells, Jason J CDR BUPERS 3, AVN Community Manager</dc:creator>
  <cp:lastModifiedBy>Widman, Schyler J (Cinderella) LCDR USN COMNAVPERSCOM MIL TN (USA)</cp:lastModifiedBy>
  <cp:revision>6</cp:revision>
  <cp:lastPrinted>2026-06-09T20:17:00Z</cp:lastPrinted>
  <dcterms:created xsi:type="dcterms:W3CDTF">2026-06-09T20:18:00Z</dcterms:created>
  <dcterms:modified xsi:type="dcterms:W3CDTF">2026-08-03T13:35:00Z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0x0101006D42A10DDEAC2D40B8B596C5C3D8B2F3</vt:lpwstr>
  </property>
  <property fmtid="{D5CDD505-2E9C-101B-9397-08002B2CF9AE}" pid="3" name="MediaServiceImageTags">
    <vt:lpwstr/>
  </property>
</Properties>
</file>